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B5" w:rsidRDefault="00245CB5">
      <w:pPr>
        <w:spacing w:after="0" w:line="312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245CB5" w:rsidRDefault="00245CB5">
      <w:pPr>
        <w:spacing w:after="0" w:line="312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245CB5" w:rsidRDefault="00245CB5">
      <w:pPr>
        <w:spacing w:after="0" w:line="312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245CB5" w:rsidRDefault="00245CB5">
      <w:pPr>
        <w:spacing w:after="0" w:line="312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245CB5" w:rsidRDefault="00245CB5">
      <w:pPr>
        <w:spacing w:after="0" w:line="312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245CB5" w:rsidRDefault="00245CB5">
      <w:pPr>
        <w:spacing w:after="0" w:line="312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245CB5" w:rsidRDefault="00245CB5">
      <w:pPr>
        <w:spacing w:after="0" w:line="312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245CB5" w:rsidRDefault="00245CB5">
      <w:pPr>
        <w:spacing w:after="0" w:line="312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245CB5" w:rsidRDefault="00245CB5">
      <w:pPr>
        <w:spacing w:after="0" w:line="312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245CB5" w:rsidRDefault="00245CB5">
      <w:pPr>
        <w:spacing w:after="0" w:line="312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245CB5" w:rsidRDefault="00EF71C4">
      <w:pPr>
        <w:spacing w:after="0" w:line="312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Стандарт зрелости управления рисками </w:t>
      </w:r>
    </w:p>
    <w:p w:rsidR="00245CB5" w:rsidRDefault="00EF71C4">
      <w:pPr>
        <w:spacing w:after="0" w:line="312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контрольно-надзорной деятельности</w:t>
      </w:r>
    </w:p>
    <w:p w:rsidR="00245CB5" w:rsidRDefault="00245CB5">
      <w:pPr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Москва, 2019</w:t>
      </w: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71553029"/>
        <w:docPartObj>
          <w:docPartGallery w:val="Table of Contents"/>
          <w:docPartUnique/>
        </w:docPartObj>
      </w:sdtPr>
      <w:sdtEndPr/>
      <w:sdtContent>
        <w:p w:rsidR="00245CB5" w:rsidRDefault="00EF71C4">
          <w:pPr>
            <w:pStyle w:val="afe"/>
            <w:jc w:val="center"/>
          </w:pPr>
          <w:r>
            <w:rPr>
              <w:rFonts w:ascii="Times New Roman" w:hAnsi="Times New Roman" w:cs="Times New Roman"/>
              <w:b/>
              <w:color w:val="auto"/>
              <w:sz w:val="26"/>
              <w:szCs w:val="26"/>
            </w:rPr>
            <w:t>Оглавление</w:t>
          </w:r>
        </w:p>
        <w:p w:rsidR="00245CB5" w:rsidRDefault="00EF71C4">
          <w:pPr>
            <w:pStyle w:val="11"/>
            <w:tabs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r>
            <w:fldChar w:fldCharType="begin"/>
          </w:r>
          <w:r>
            <w:rPr>
              <w:rStyle w:val="af2"/>
              <w:rFonts w:ascii="Times New Roman" w:hAnsi="Times New Roman" w:cs="Times New Roman"/>
              <w:webHidden/>
              <w:sz w:val="26"/>
              <w:szCs w:val="26"/>
            </w:rPr>
            <w:instrText>TOC \z \o "1-3" \u \h</w:instrText>
          </w:r>
          <w:r>
            <w:rPr>
              <w:rStyle w:val="af2"/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792362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Введение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_Toc792362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21"/>
            <w:tabs>
              <w:tab w:val="left" w:pos="720"/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63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1.</w:t>
            </w:r>
            <w:r>
              <w:rPr>
                <w:rStyle w:val="af2"/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>О чем данный Стандарт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_Toc792363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21"/>
            <w:tabs>
              <w:tab w:val="left" w:pos="720"/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64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2.</w:t>
            </w:r>
            <w:r>
              <w:rPr>
                <w:rStyle w:val="af2"/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 xml:space="preserve">Для кого </w:t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>разработан Стандарт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_Toc792364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21"/>
            <w:tabs>
              <w:tab w:val="left" w:pos="720"/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65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3.</w:t>
            </w:r>
            <w:r>
              <w:rPr>
                <w:rStyle w:val="af2"/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ab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>Как организован Стандарт и как им пользоваться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_Toc792365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11"/>
            <w:tabs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66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1. Управление рисками в контрольно-надзорной деятельности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_Toc792366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21"/>
            <w:tabs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67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1.1. Что такое риск и д</w:t>
            </w:r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ля чего нужно управление рисками в контрольно-надзорной деятельности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_Toc792367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21"/>
            <w:tabs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68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1.2. Риск и его элементы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_Toc792368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21"/>
            <w:tabs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69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1.3. Базовые элементы управления рисками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_Toc792369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31"/>
            <w:tabs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70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1.3.1. Общая характеристика базовых элементов управления рисками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_Toc792370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31"/>
            <w:tabs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71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1.3.2. Анализ подконтрольной сферы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_Toc792371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31"/>
            <w:tabs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72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1.3.3. Идентификация рисков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_Toc792372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31"/>
            <w:tabs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73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1.3.4. Анализ и оце</w:t>
            </w:r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нивание (ранжирование) рисков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_Toc792373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31"/>
            <w:tabs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74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1.3.5. Cтратегии и меры реагирования на риски: определение и применение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_Toc792374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34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31"/>
            <w:tabs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75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1.3.6. Инструменты управления рисками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_Toc792375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41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31"/>
            <w:tabs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76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1</w:t>
            </w:r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.3.7.  Мониторинг, повторный анализ и совершенствование процесса управления рисками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_Toc792376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45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21"/>
            <w:tabs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77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1.4. Культура управления рисками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_Toc792377 </w:instrText>
            </w:r>
            <w:r>
              <w:rPr>
                <w:webHidden/>
              </w:rPr>
              <w:instrText>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46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11"/>
            <w:tabs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78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2. Система управления рисками в контрольно-надзорной деятельности.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_Toc792378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48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21"/>
            <w:tabs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79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2.1 Общая характеристика системы управления рисками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_Toc792379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48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21"/>
            <w:tabs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80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 xml:space="preserve">2.2. Общая характеристика уровней зрелости </w:t>
            </w:r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ведомственной системы управления рисками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_Toc792380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50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21"/>
            <w:tabs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81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2.3. Концептуальная модель зрелости ведомственной системы управления рисками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</w:rPr>
              <w:instrText>_Toc792381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63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21"/>
            <w:tabs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82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2.4. Детализированная модель зрелости ведомственной системы управления рисками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_Toc792382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67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pPr>
            <w:pStyle w:val="11"/>
            <w:tabs>
              <w:tab w:val="right" w:leader="dot" w:pos="10197"/>
            </w:tabs>
            <w:rPr>
              <w:rFonts w:ascii="Times New Roman" w:eastAsiaTheme="minorEastAsia" w:hAnsi="Times New Roman" w:cs="Times New Roman"/>
              <w:sz w:val="26"/>
              <w:szCs w:val="26"/>
              <w:lang w:val="en-US"/>
            </w:rPr>
          </w:pPr>
          <w:hyperlink w:anchor="_Toc792383">
            <w:r>
              <w:rPr>
                <w:rStyle w:val="af2"/>
                <w:rFonts w:ascii="Times New Roman" w:hAnsi="Times New Roman" w:cs="Times New Roman"/>
                <w:webHidden/>
                <w:sz w:val="26"/>
                <w:szCs w:val="26"/>
              </w:rPr>
              <w:t>Список источников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_Toc792383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  <w:rFonts w:ascii="Times New Roman" w:hAnsi="Times New Roman" w:cs="Times New Roman"/>
                <w:sz w:val="26"/>
                <w:szCs w:val="26"/>
              </w:rPr>
              <w:tab/>
              <w:t>80</w:t>
            </w:r>
            <w:r>
              <w:rPr>
                <w:webHidden/>
              </w:rPr>
              <w:fldChar w:fldCharType="end"/>
            </w:r>
          </w:hyperlink>
        </w:p>
        <w:p w:rsidR="00245CB5" w:rsidRDefault="00EF71C4">
          <w:r>
            <w:fldChar w:fldCharType="end"/>
          </w:r>
        </w:p>
      </w:sdtContent>
    </w:sdt>
    <w:p w:rsidR="00245CB5" w:rsidRDefault="00245CB5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45CB5" w:rsidRDefault="00245CB5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45CB5" w:rsidRDefault="00245CB5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45CB5" w:rsidRDefault="00245CB5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45CB5" w:rsidRDefault="00245CB5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45CB5" w:rsidRDefault="00245CB5">
      <w:pPr>
        <w:spacing w:after="0" w:line="312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45CB5" w:rsidRDefault="00EF71C4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_Toc792362"/>
      <w:r>
        <w:rPr>
          <w:rFonts w:ascii="Times New Roman" w:hAnsi="Times New Roman" w:cs="Times New Roman"/>
          <w:sz w:val="26"/>
          <w:szCs w:val="26"/>
        </w:rPr>
        <w:t>Введение</w:t>
      </w:r>
      <w:bookmarkEnd w:id="1"/>
    </w:p>
    <w:p w:rsidR="00245CB5" w:rsidRDefault="00245CB5"/>
    <w:p w:rsidR="00245CB5" w:rsidRDefault="00EF71C4">
      <w:pPr>
        <w:pStyle w:val="afb"/>
        <w:numPr>
          <w:ilvl w:val="0"/>
          <w:numId w:val="1"/>
        </w:numPr>
        <w:spacing w:after="0" w:line="312" w:lineRule="auto"/>
        <w:ind w:left="0"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_Toc792363"/>
      <w:r>
        <w:rPr>
          <w:rFonts w:ascii="Times New Roman" w:hAnsi="Times New Roman" w:cs="Times New Roman"/>
          <w:sz w:val="26"/>
          <w:szCs w:val="26"/>
        </w:rPr>
        <w:lastRenderedPageBreak/>
        <w:t>О чем данный Стандарт</w:t>
      </w:r>
      <w:bookmarkEnd w:id="2"/>
    </w:p>
    <w:p w:rsidR="00245CB5" w:rsidRDefault="00245CB5">
      <w:pPr>
        <w:pStyle w:val="afb"/>
        <w:spacing w:after="0" w:line="312" w:lineRule="auto"/>
        <w:ind w:left="0"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Стандарт представляет собой методологическое руководство в работе по  построению механизмов управления рисками причинения вреда охраняемым законом ценностям, являющимся неотъемлемым элементом текущей деятельности                        контрольно-на</w:t>
      </w:r>
      <w:r>
        <w:rPr>
          <w:rFonts w:ascii="Times New Roman" w:hAnsi="Times New Roman" w:cs="Times New Roman"/>
          <w:sz w:val="26"/>
          <w:szCs w:val="26"/>
        </w:rPr>
        <w:t xml:space="preserve">дзорных органов.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Стандарт содержит различные аспекты управления рисками, рассматриваемые в преломлении к специфике деятельности контрольно-надзорных органов, показывая отличия рисков частной и публичной сфер и подходов к работе с ними. При этом Стандарт с</w:t>
      </w:r>
      <w:r>
        <w:rPr>
          <w:rFonts w:ascii="Times New Roman" w:hAnsi="Times New Roman" w:cs="Times New Roman"/>
          <w:sz w:val="26"/>
          <w:szCs w:val="26"/>
        </w:rPr>
        <w:t>фокусирован на внешних рисках как принципиально значимых для обеспечения благополучия граждан и не включает описание и рекомендации по работе с операционными рисками ведомств.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Необходимость в разработке данного Стандарта обусловлена сдержанным характером в</w:t>
      </w:r>
      <w:r>
        <w:rPr>
          <w:rFonts w:ascii="Times New Roman" w:hAnsi="Times New Roman" w:cs="Times New Roman"/>
          <w:sz w:val="26"/>
          <w:szCs w:val="26"/>
        </w:rPr>
        <w:t>недрения управления рисками в контрольно-надзорной деятельности, обусловленной существующей правовой регламентацией.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отсутствует приемлемое для контрольно-надзорной деятельности понятие «риск», нет комплексного описания процесса  управлен</w:t>
      </w:r>
      <w:r>
        <w:rPr>
          <w:rFonts w:ascii="Times New Roman" w:hAnsi="Times New Roman" w:cs="Times New Roman"/>
          <w:sz w:val="26"/>
          <w:szCs w:val="26"/>
        </w:rPr>
        <w:t>ия  рисками, его основных элементов, инструментов и взаимосвязи между ними, в том числе не продемонстрированы связь профилактической деятельности с управлением рисками, влияние применения риск-ориентированного подхода на результативность и эффективность де</w:t>
      </w:r>
      <w:r>
        <w:rPr>
          <w:rFonts w:ascii="Times New Roman" w:hAnsi="Times New Roman" w:cs="Times New Roman"/>
          <w:sz w:val="26"/>
          <w:szCs w:val="26"/>
        </w:rPr>
        <w:t>ятельности контрольно-надзорных органов, не сформулированы принципы управления рисками, включая вопрос ответственности за риски не только контрольно-надзорных органов, но и федеральных органов исполнительной власти, осуществляющих функции по выработке и ре</w:t>
      </w:r>
      <w:r>
        <w:rPr>
          <w:rFonts w:ascii="Times New Roman" w:hAnsi="Times New Roman" w:cs="Times New Roman"/>
          <w:sz w:val="26"/>
          <w:szCs w:val="26"/>
        </w:rPr>
        <w:t>ализации государственной политики и нормативно-правовому регулированию в соответствующей сфере общественных отношений, не раскрыты необходимые содержательные требования к критериям риска, не приведены все меры реагирования на риск. Отсутствие соответствующ</w:t>
      </w:r>
      <w:r>
        <w:rPr>
          <w:rFonts w:ascii="Times New Roman" w:hAnsi="Times New Roman" w:cs="Times New Roman"/>
          <w:sz w:val="26"/>
          <w:szCs w:val="26"/>
        </w:rPr>
        <w:t>их нормативных установок служит одним из факторов формального отношения ведомств к внедрению и применению риск-ориентированного подхода</w:t>
      </w:r>
      <w:r>
        <w:rPr>
          <w:rStyle w:val="a9"/>
          <w:rFonts w:ascii="Times New Roman" w:hAnsi="Times New Roman" w:cs="Times New Roman"/>
          <w:sz w:val="26"/>
          <w:szCs w:val="26"/>
        </w:rPr>
        <w:footnoteReference w:id="1"/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свою очередь, Стандарт призван разъяснить необходимость и значимость управления рисками для обеспечения наибольшей </w:t>
      </w:r>
      <w:r>
        <w:rPr>
          <w:rFonts w:ascii="Times New Roman" w:hAnsi="Times New Roman" w:cs="Times New Roman"/>
          <w:sz w:val="26"/>
          <w:szCs w:val="26"/>
        </w:rPr>
        <w:t>безопасности охраняемых законом ценностей и содействия экономическому развитию, раскрывает содержание ключевых понятий управления рисками, цели и этапы процесса управления рисками, описывает возможные стратегии и меры реагирования на риски в условиях их сб</w:t>
      </w:r>
      <w:r>
        <w:rPr>
          <w:rFonts w:ascii="Times New Roman" w:hAnsi="Times New Roman" w:cs="Times New Roman"/>
          <w:sz w:val="26"/>
          <w:szCs w:val="26"/>
        </w:rPr>
        <w:t xml:space="preserve">алансированного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применения, дает качественную характеристику правового инструментария управления рисками.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Стандарт задает основные элементы и сущностные характеристики ведомственной системы управления рисками с описанием ее поэтапного развития по уровням </w:t>
      </w:r>
      <w:r>
        <w:rPr>
          <w:rFonts w:ascii="Times New Roman" w:hAnsi="Times New Roman" w:cs="Times New Roman"/>
          <w:sz w:val="26"/>
          <w:szCs w:val="26"/>
        </w:rPr>
        <w:t>зрелости вплоть до комплексной интеграции управления рисками в деятельность контрольно-надзорных органов.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Стандарт демонстрирует, что управление рисками и система управления рисками – это не самостоятельная надстройка в деятельности контрольно-надзорных ор</w:t>
      </w:r>
      <w:r>
        <w:rPr>
          <w:rFonts w:ascii="Times New Roman" w:hAnsi="Times New Roman" w:cs="Times New Roman"/>
          <w:sz w:val="26"/>
          <w:szCs w:val="26"/>
        </w:rPr>
        <w:t xml:space="preserve">ганов, а инструмент достижения целей деятельности органов власти, который позволяет реализовать их с оптимальными ресурсными затратами  и минимальной административной и финансовой нагрузкой на подконтрольных субъектов. </w:t>
      </w:r>
    </w:p>
    <w:p w:rsidR="00245CB5" w:rsidRDefault="00245CB5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pStyle w:val="afb"/>
        <w:numPr>
          <w:ilvl w:val="0"/>
          <w:numId w:val="1"/>
        </w:numPr>
        <w:spacing w:after="0" w:line="312" w:lineRule="auto"/>
        <w:ind w:left="0"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_Toc792364"/>
      <w:r>
        <w:rPr>
          <w:rFonts w:ascii="Times New Roman" w:hAnsi="Times New Roman" w:cs="Times New Roman"/>
          <w:sz w:val="26"/>
          <w:szCs w:val="26"/>
        </w:rPr>
        <w:t>Для кого разработан Стандарт</w:t>
      </w:r>
      <w:bookmarkEnd w:id="3"/>
    </w:p>
    <w:p w:rsidR="00245CB5" w:rsidRDefault="00245CB5">
      <w:pPr>
        <w:pStyle w:val="afb"/>
        <w:spacing w:after="0" w:line="312" w:lineRule="auto"/>
        <w:ind w:left="0"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Станд</w:t>
      </w:r>
      <w:r>
        <w:rPr>
          <w:rFonts w:ascii="Times New Roman" w:hAnsi="Times New Roman" w:cs="Times New Roman"/>
          <w:sz w:val="26"/>
          <w:szCs w:val="26"/>
        </w:rPr>
        <w:t xml:space="preserve">арт предназначен для использования контрольно-надзорными органами в Российской Федерации в целях разработки и совершенствования системы управления рисками.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Стандарт также может быть использован органами исполнительной власти, которые не наделены контро</w:t>
      </w:r>
      <w:r>
        <w:rPr>
          <w:rFonts w:ascii="Times New Roman" w:hAnsi="Times New Roman" w:cs="Times New Roman"/>
          <w:sz w:val="26"/>
          <w:szCs w:val="26"/>
        </w:rPr>
        <w:t>льно-надзорными полномочия, но осуществляют разрешительные функции, органами исполнительной власти, осуществляющими функции по выработке и реализации государственной политики и нормативному правовому регулированию в соответствующей сфере общественных отнош</w:t>
      </w:r>
      <w:r>
        <w:rPr>
          <w:rFonts w:ascii="Times New Roman" w:hAnsi="Times New Roman" w:cs="Times New Roman"/>
          <w:sz w:val="26"/>
          <w:szCs w:val="26"/>
        </w:rPr>
        <w:t>ений.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группами целевой аудитории Стандарта являются: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руководство, формирующее государственную политику в отношении государственного и муниципального контроля (надзора). Указанным лицам рекомендуется ознакомиться с общими положениями об управлен</w:t>
      </w:r>
      <w:r>
        <w:rPr>
          <w:rFonts w:ascii="Times New Roman" w:hAnsi="Times New Roman" w:cs="Times New Roman"/>
          <w:sz w:val="26"/>
          <w:szCs w:val="26"/>
        </w:rPr>
        <w:t xml:space="preserve">ии рисками в контрольно-надзорной деятельности;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руководство контрольно-надзорных органов, отвечающее за внедрение системы управления рисками. Указанные лица должны хорошо понимать общее устройство ведомственной системы управления рисками, а также взаи</w:t>
      </w:r>
      <w:r>
        <w:rPr>
          <w:rFonts w:ascii="Times New Roman" w:hAnsi="Times New Roman" w:cs="Times New Roman"/>
          <w:sz w:val="26"/>
          <w:szCs w:val="26"/>
        </w:rPr>
        <w:t>мосвязи между ее основными элементами для того чтобы успешно выстраивать подобные системы в своих ведомствах;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сотрудники контрольно-надзорных органов, непосредственно отвечающие за внедрение и применение ведомственной системы управления рисками. Данная </w:t>
      </w:r>
      <w:r>
        <w:rPr>
          <w:rFonts w:ascii="Times New Roman" w:hAnsi="Times New Roman" w:cs="Times New Roman"/>
          <w:sz w:val="26"/>
          <w:szCs w:val="26"/>
        </w:rPr>
        <w:t xml:space="preserve">целевая группа должна понимать не только концептуальные схемы процесса управления рисками, но также разбираться в методологических вопросах внедрения и применения конкретных практических инструментов;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сотрудники контрольно-надзорных органов, уполномочен</w:t>
      </w:r>
      <w:r>
        <w:rPr>
          <w:rFonts w:ascii="Times New Roman" w:hAnsi="Times New Roman" w:cs="Times New Roman"/>
          <w:sz w:val="26"/>
          <w:szCs w:val="26"/>
        </w:rPr>
        <w:t xml:space="preserve">ные на непосредственное осуществление государственного контроля (надзора). Данные лица </w:t>
      </w:r>
      <w:r>
        <w:rPr>
          <w:rFonts w:ascii="Times New Roman" w:hAnsi="Times New Roman" w:cs="Times New Roman"/>
          <w:sz w:val="26"/>
          <w:szCs w:val="26"/>
        </w:rPr>
        <w:lastRenderedPageBreak/>
        <w:t>также должны хорошо понимать и  применять  в текущей практике меры реагирования на риски;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сотрудники ведомства, за которыми закреплены задачи методологического сопрово</w:t>
      </w:r>
      <w:r>
        <w:rPr>
          <w:rFonts w:ascii="Times New Roman" w:hAnsi="Times New Roman" w:cs="Times New Roman"/>
          <w:sz w:val="26"/>
          <w:szCs w:val="26"/>
        </w:rPr>
        <w:t xml:space="preserve">ждения внедрения ведомственных систем управления рисками в контрольно-надзорных органах;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общественность и представители бизнеса. Для построения успешных систем управления рисками требуется постоянное участие представителей общественности и подконтрольн</w:t>
      </w:r>
      <w:r>
        <w:rPr>
          <w:rFonts w:ascii="Times New Roman" w:hAnsi="Times New Roman" w:cs="Times New Roman"/>
          <w:sz w:val="26"/>
          <w:szCs w:val="26"/>
        </w:rPr>
        <w:t xml:space="preserve">ой среды, которые в свою очередь также должны понимать концептуальные основы системы, в которой будут участвовать;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представители экспертного и научного сообщества. В процессе разработки ведомственных систем управления рисками может потребоваться прове</w:t>
      </w:r>
      <w:r>
        <w:rPr>
          <w:rFonts w:ascii="Times New Roman" w:hAnsi="Times New Roman" w:cs="Times New Roman"/>
          <w:sz w:val="26"/>
          <w:szCs w:val="26"/>
        </w:rPr>
        <w:t>дение научно-исследовательских работ и экспертного анализа. Большая часть данных работ будет носить предметный и узконаправленный характер, однако для того чтобы лучше понимать для чего будут использованы данные результаты, научным работникам и экспертам</w:t>
      </w:r>
      <w:r>
        <w:rPr>
          <w:rFonts w:ascii="Times New Roman" w:hAnsi="Times New Roman" w:cs="Times New Roman"/>
          <w:sz w:val="26"/>
          <w:szCs w:val="26"/>
        </w:rPr>
        <w:t xml:space="preserve"> также необходимо ознакомиться со Стандартом. </w:t>
      </w:r>
    </w:p>
    <w:p w:rsidR="00245CB5" w:rsidRDefault="00245CB5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pStyle w:val="afb"/>
        <w:numPr>
          <w:ilvl w:val="0"/>
          <w:numId w:val="1"/>
        </w:numPr>
        <w:spacing w:after="0" w:line="312" w:lineRule="auto"/>
        <w:ind w:left="0"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_Toc792365"/>
      <w:r>
        <w:rPr>
          <w:rFonts w:ascii="Times New Roman" w:hAnsi="Times New Roman" w:cs="Times New Roman"/>
          <w:sz w:val="26"/>
          <w:szCs w:val="26"/>
        </w:rPr>
        <w:t>Как организован Стандарт и как им пользоваться</w:t>
      </w:r>
      <w:bookmarkEnd w:id="4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CB5" w:rsidRDefault="00245CB5">
      <w:pPr>
        <w:pStyle w:val="afb"/>
        <w:spacing w:after="0" w:line="312" w:lineRule="auto"/>
        <w:ind w:left="0"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целей разработки Стандарт включает в себя два блока: раздел 1 «Управление рисками в контрольно-надзорной деятельности» и раздел 2 «Ведомственная систе</w:t>
      </w:r>
      <w:r>
        <w:rPr>
          <w:rFonts w:ascii="Times New Roman" w:hAnsi="Times New Roman" w:cs="Times New Roman"/>
          <w:sz w:val="26"/>
          <w:szCs w:val="26"/>
        </w:rPr>
        <w:t>ма управления рисками в контрольно-надзорной деятельности».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первом разделе Стандарта даются ответы на следующие вопросы: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какова цель и  для чего нужно управление рисками в контрольно-надзорной деятельности; в чем заключаются риски контрольно-надзорных ор</w:t>
      </w:r>
      <w:r>
        <w:rPr>
          <w:rFonts w:ascii="Times New Roman" w:hAnsi="Times New Roman" w:cs="Times New Roman"/>
          <w:sz w:val="26"/>
          <w:szCs w:val="26"/>
        </w:rPr>
        <w:t>ганов и как организован процесс управления рисками; какие стратегии и меры реагирования на риски могут применять контрольно-надзорные органы и каким образом это делать; какие есть, для чего нужны и какими должны быть инструменты управления рисками; что зна</w:t>
      </w:r>
      <w:r>
        <w:rPr>
          <w:rFonts w:ascii="Times New Roman" w:hAnsi="Times New Roman" w:cs="Times New Roman"/>
          <w:sz w:val="26"/>
          <w:szCs w:val="26"/>
        </w:rPr>
        <w:t>чит «культура управления рисками», какова ее роль в процессе управления рисками и каким образом ее можно сформировать.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свою очередь, во втором разделе Стандарта объясняется структура ведомственной системы управления рисками, содержание каждого ее элемент</w:t>
      </w:r>
      <w:r>
        <w:rPr>
          <w:rFonts w:ascii="Times New Roman" w:hAnsi="Times New Roman" w:cs="Times New Roman"/>
          <w:sz w:val="26"/>
          <w:szCs w:val="26"/>
        </w:rPr>
        <w:t>а, показываются отличия уровней зрелости данной системы, а также представлены концептуальная модель зрелости управления рисками, содержащая ключевые сущностные характеристики уровней зрелости системы управления рисками, и детализированная модель зрелости у</w:t>
      </w:r>
      <w:r>
        <w:rPr>
          <w:rFonts w:ascii="Times New Roman" w:hAnsi="Times New Roman" w:cs="Times New Roman"/>
          <w:sz w:val="26"/>
          <w:szCs w:val="26"/>
        </w:rPr>
        <w:t xml:space="preserve">правления рисками, конкретизирующая основные поэтапные изменения каждого элемента системы, необходимые для перехода от одного уровня к другому. </w:t>
      </w:r>
    </w:p>
    <w:p w:rsidR="00245CB5" w:rsidRDefault="00EF71C4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</w:rPr>
      </w:pPr>
      <w:bookmarkStart w:id="5" w:name="_Toc792366"/>
      <w:r>
        <w:rPr>
          <w:rFonts w:ascii="Times New Roman" w:hAnsi="Times New Roman" w:cs="Times New Roman"/>
          <w:sz w:val="26"/>
          <w:szCs w:val="26"/>
        </w:rPr>
        <w:t>Управление рисками в контрольно-надзорной деятельности</w:t>
      </w:r>
      <w:bookmarkEnd w:id="5"/>
    </w:p>
    <w:p w:rsidR="00245CB5" w:rsidRDefault="00245CB5">
      <w:pPr>
        <w:pStyle w:val="afb"/>
      </w:pPr>
    </w:p>
    <w:p w:rsidR="00245CB5" w:rsidRDefault="00EF71C4">
      <w:pPr>
        <w:pStyle w:val="afb"/>
        <w:numPr>
          <w:ilvl w:val="1"/>
          <w:numId w:val="2"/>
        </w:numPr>
        <w:spacing w:after="0" w:line="312" w:lineRule="auto"/>
        <w:ind w:left="0" w:firstLine="851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_Toc792367"/>
      <w:r>
        <w:rPr>
          <w:rFonts w:ascii="Times New Roman" w:hAnsi="Times New Roman" w:cs="Times New Roman"/>
          <w:sz w:val="26"/>
          <w:szCs w:val="26"/>
        </w:rPr>
        <w:lastRenderedPageBreak/>
        <w:t xml:space="preserve">Что такое риск и для чего нужно управление рисками в </w:t>
      </w:r>
      <w:r>
        <w:rPr>
          <w:rFonts w:ascii="Times New Roman" w:hAnsi="Times New Roman" w:cs="Times New Roman"/>
          <w:sz w:val="26"/>
          <w:szCs w:val="26"/>
        </w:rPr>
        <w:t>контрольно-надзорной деятельности</w:t>
      </w:r>
      <w:bookmarkEnd w:id="6"/>
    </w:p>
    <w:p w:rsidR="00245CB5" w:rsidRDefault="00245CB5">
      <w:pPr>
        <w:pStyle w:val="afb"/>
        <w:spacing w:after="0" w:line="312" w:lineRule="auto"/>
        <w:ind w:left="0" w:firstLine="851"/>
        <w:outlineLvl w:val="1"/>
        <w:rPr>
          <w:rFonts w:ascii="Times New Roman" w:hAnsi="Times New Roman" w:cs="Times New Roman"/>
          <w:sz w:val="26"/>
          <w:szCs w:val="26"/>
          <w:u w:val="single"/>
        </w:rPr>
      </w:pP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Обычно слово «риск» ассоциируется с опасностью, вероятностью, последствиями, неблагоприятными факторами или угрозами применительно к достижению целей. Так, в тексте стандарта международной системы стандартизации ИСО 31000:2018 «Менеджмент риска. Руководств</w:t>
      </w:r>
      <w:r>
        <w:rPr>
          <w:rFonts w:ascii="Times New Roman" w:hAnsi="Times New Roman" w:cs="Times New Roman"/>
          <w:sz w:val="26"/>
          <w:szCs w:val="26"/>
        </w:rPr>
        <w:t xml:space="preserve">о» дается общее определение риска как «влияние неопределенности на достижение целей». То есть, понять сущность основных рисков того или иного субъекта можно, установив цели его деятельности.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Мировая практика деятельности в различных областях, включая гос</w:t>
      </w:r>
      <w:r>
        <w:rPr>
          <w:rFonts w:ascii="Times New Roman" w:hAnsi="Times New Roman" w:cs="Times New Roman"/>
          <w:sz w:val="26"/>
          <w:szCs w:val="26"/>
        </w:rPr>
        <w:t>ударственное регулирование, показывает, что те, кто заранее думает о рисках, выявляет их в своей деятельности, анализирует, оценивает возможный исход в случае их реализации, и принимает решение о дальнейших действиях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с учетом правильного понимания существу</w:t>
      </w:r>
      <w:r>
        <w:rPr>
          <w:rFonts w:ascii="Times New Roman" w:hAnsi="Times New Roman" w:cs="Times New Roman"/>
          <w:sz w:val="26"/>
          <w:szCs w:val="26"/>
        </w:rPr>
        <w:t>ющих рисков, с большей вероятностью достигают своих целей, чем те, кто относится к рискам безразлично и не принимает их во внимание.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например, в январе 2010 г. на столицу Гаити – город Порт-о-Пренс – обрушилось землетрясение, повлекшее за собой многоч</w:t>
      </w:r>
      <w:r>
        <w:rPr>
          <w:rFonts w:ascii="Times New Roman" w:hAnsi="Times New Roman" w:cs="Times New Roman"/>
          <w:sz w:val="26"/>
          <w:szCs w:val="26"/>
        </w:rPr>
        <w:t>исленные жертвы. По сейсмической классификации это явление хотя и было значительным, но не могло назваться катастрофой. Тяжесть последствий кратно возросла за счет беспорядочного и небезопасного строительства на острове, в том числе ввиду отсутствия единог</w:t>
      </w:r>
      <w:r>
        <w:rPr>
          <w:rFonts w:ascii="Times New Roman" w:hAnsi="Times New Roman" w:cs="Times New Roman"/>
          <w:sz w:val="26"/>
          <w:szCs w:val="26"/>
        </w:rPr>
        <w:t xml:space="preserve">о национального законодательства в области строительства и норм сейсмостойкого проектирования.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Чили, наоборот, еще с 1931 г. строительные нормы и правила сформулированы, регулярно обновляются и реализуются на основе оценки рисков. В системе управления р</w:t>
      </w:r>
      <w:r>
        <w:rPr>
          <w:rFonts w:ascii="Times New Roman" w:hAnsi="Times New Roman" w:cs="Times New Roman"/>
          <w:sz w:val="26"/>
          <w:szCs w:val="26"/>
        </w:rPr>
        <w:t>исками стихийных бедствий постоянно внедряются и применяются самые современные технологии, практически во всех учреждениях регулярно проводятся обучающие мероприятия. Более высокий уровень готовности к стихийным бедствиям, очевидно, стал одним из факторов,</w:t>
      </w:r>
      <w:r>
        <w:rPr>
          <w:rFonts w:ascii="Times New Roman" w:hAnsi="Times New Roman" w:cs="Times New Roman"/>
          <w:sz w:val="26"/>
          <w:szCs w:val="26"/>
        </w:rPr>
        <w:t xml:space="preserve"> смягчивших последствия землетрясения, произошедшего Чили в феврале 2010 г.,  которое в 500 раз превосходило по силе землетрясение в Порт-о-Пренс.</w:t>
      </w:r>
      <w:r>
        <w:rPr>
          <w:rStyle w:val="a9"/>
          <w:rFonts w:ascii="Times New Roman" w:hAnsi="Times New Roman" w:cs="Times New Roman"/>
          <w:sz w:val="26"/>
          <w:szCs w:val="26"/>
        </w:rPr>
        <w:footnoteReference w:id="2"/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видно, разумное и нацеленное на возможно лучший результат осуществление какой-либо деятельности сопряжен</w:t>
      </w:r>
      <w:r>
        <w:rPr>
          <w:rFonts w:ascii="Times New Roman" w:hAnsi="Times New Roman" w:cs="Times New Roman"/>
          <w:sz w:val="26"/>
          <w:szCs w:val="26"/>
        </w:rPr>
        <w:t xml:space="preserve">о с </w:t>
      </w:r>
      <w:r>
        <w:rPr>
          <w:rFonts w:ascii="Times New Roman" w:hAnsi="Times New Roman" w:cs="Times New Roman"/>
          <w:b/>
          <w:sz w:val="26"/>
          <w:szCs w:val="26"/>
        </w:rPr>
        <w:t>управлением рисками (риск-менеджментом)</w:t>
      </w:r>
      <w:r>
        <w:rPr>
          <w:rFonts w:ascii="Times New Roman" w:hAnsi="Times New Roman" w:cs="Times New Roman"/>
          <w:sz w:val="26"/>
          <w:szCs w:val="26"/>
        </w:rPr>
        <w:t xml:space="preserve">, которое предполагает необходимость </w:t>
      </w:r>
      <w:r>
        <w:rPr>
          <w:rFonts w:ascii="Times New Roman" w:hAnsi="Times New Roman" w:cs="Times New Roman"/>
          <w:b/>
          <w:sz w:val="26"/>
          <w:szCs w:val="26"/>
        </w:rPr>
        <w:t>принятия решений</w:t>
      </w:r>
      <w:r>
        <w:rPr>
          <w:rFonts w:ascii="Times New Roman" w:hAnsi="Times New Roman" w:cs="Times New Roman"/>
          <w:sz w:val="26"/>
          <w:szCs w:val="26"/>
        </w:rPr>
        <w:t xml:space="preserve">, прямо или косвенно влияющих на достижение целей, </w:t>
      </w:r>
      <w:r>
        <w:rPr>
          <w:rFonts w:ascii="Times New Roman" w:hAnsi="Times New Roman" w:cs="Times New Roman"/>
          <w:b/>
          <w:sz w:val="26"/>
          <w:szCs w:val="26"/>
        </w:rPr>
        <w:t>с учетом рисков</w:t>
      </w:r>
      <w:r>
        <w:rPr>
          <w:rFonts w:ascii="Times New Roman" w:hAnsi="Times New Roman" w:cs="Times New Roman"/>
          <w:sz w:val="26"/>
          <w:szCs w:val="26"/>
        </w:rPr>
        <w:t>. Это делается с целью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избежать излишних, непредвиденных или предотвратимых потерь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Обращаясь</w:t>
      </w:r>
      <w:r>
        <w:rPr>
          <w:rFonts w:ascii="Times New Roman" w:hAnsi="Times New Roman" w:cs="Times New Roman"/>
          <w:sz w:val="26"/>
          <w:szCs w:val="26"/>
        </w:rPr>
        <w:t xml:space="preserve"> к собственно рискам органов власти, следует исходить из того, что основная цель государства и действующих от его имени органов, включая                            контрольно-надзорные, состоит в содействии благополучию общества и граждан, базовыми элемент</w:t>
      </w:r>
      <w:r>
        <w:rPr>
          <w:rFonts w:ascii="Times New Roman" w:hAnsi="Times New Roman" w:cs="Times New Roman"/>
          <w:sz w:val="26"/>
          <w:szCs w:val="26"/>
        </w:rPr>
        <w:t>ами которого являются высокий уровень защищенности жизни, здоровья граждан, окружающей среды, имущества граждан и организаций, суверенитета государства, иных охраняемых  законом  ценностей,  а  также  стабильное   экономическое   развитие  и  рост</w:t>
      </w:r>
      <w:r>
        <w:rPr>
          <w:rFonts w:ascii="Times New Roman" w:hAnsi="Times New Roman" w:cs="Times New Roman"/>
          <w:i/>
          <w:sz w:val="26"/>
          <w:szCs w:val="26"/>
          <w:highlight w:val="yellow"/>
        </w:rPr>
        <w:t>.</w:t>
      </w:r>
      <w:r>
        <w:rPr>
          <w:rFonts w:ascii="Times New Roman" w:hAnsi="Times New Roman" w:cs="Times New Roman"/>
          <w:i/>
          <w:color w:val="000000"/>
          <w:sz w:val="26"/>
          <w:szCs w:val="26"/>
          <w:highlight w:val="yellow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В ключе</w:t>
      </w:r>
      <w:r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 xml:space="preserve"> функций государственного контроля (надзора) данная цель сводится к обеспечению безопасности охраняемых законом ценностей и уравновешивается целью содействия экономическому развитию и росту в подконтрольной сфере и экономике страны в целом.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учетом этого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риски органов власти заключаются в вероятности наступления в подконтрольной сфере событий, вследствие которых может быть причинен вред охраняемым законом ценностям. Данные риски для органов власти являются «внешними» и обладают такими характеристиками, ка</w:t>
      </w:r>
      <w:r>
        <w:rPr>
          <w:rFonts w:ascii="Times New Roman" w:hAnsi="Times New Roman" w:cs="Times New Roman"/>
          <w:b/>
          <w:sz w:val="26"/>
          <w:szCs w:val="26"/>
        </w:rPr>
        <w:t>к публичная значимость, значительность тяжести и масштабов потенциальных негативных последствий в случае наступления заложенных в риске событий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именно наличие рисков охраняемым законом ценностям вследствие осуществления той или иной экономической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обуславливает необходимость установления государством режимов, так или иначе ограничивающих эту деятельность, задающих для нее рамки и обеспечивающих их соблюдение. Разрешительный режим и государственный контроль (надзор) являются основными и</w:t>
      </w:r>
      <w:r>
        <w:rPr>
          <w:rFonts w:ascii="Times New Roman" w:hAnsi="Times New Roman" w:cs="Times New Roman"/>
          <w:sz w:val="26"/>
          <w:szCs w:val="26"/>
        </w:rPr>
        <w:t>нструментами соответствующего регулирования и нередко задаются и применяются «в связке», обеспечивая выход на рынок и поддерживая только тех участников экономической деятельности, которые отвечают установленным требованиям и объективно способны к безопасно</w:t>
      </w:r>
      <w:r>
        <w:rPr>
          <w:rFonts w:ascii="Times New Roman" w:hAnsi="Times New Roman" w:cs="Times New Roman"/>
          <w:sz w:val="26"/>
          <w:szCs w:val="26"/>
        </w:rPr>
        <w:t xml:space="preserve">му поведению. 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Например, ввиду значительного влияния услуг, оказываемых медицинскими организациями, на жизнь и здоровье граждан, зависимости качества таких услуг от компетенции персонала медицинской организации, используемых ею оборудования и помещений,  </w:t>
      </w:r>
      <w:r>
        <w:rPr>
          <w:rFonts w:ascii="Times New Roman" w:hAnsi="Times New Roman" w:cs="Times New Roman"/>
          <w:sz w:val="26"/>
          <w:szCs w:val="26"/>
        </w:rPr>
        <w:t>осуществление медицинской деятельности возможно только после получения юридическим лицом или индивидуальным предпринимателем лицензии – специального разрешения на право осуществления деятельности, выдаваемого государственным органом только в случае соответ</w:t>
      </w:r>
      <w:r>
        <w:rPr>
          <w:rFonts w:ascii="Times New Roman" w:hAnsi="Times New Roman" w:cs="Times New Roman"/>
          <w:sz w:val="26"/>
          <w:szCs w:val="26"/>
        </w:rPr>
        <w:t xml:space="preserve">ствия заявителя критериям, установленным в отношении всех значимых параметров, влияющих на качество осуществления соответствующей деятельности, включая требования к персоналу, оборудованию и помещениям.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 же время уверенность государства в безопасной п</w:t>
      </w:r>
      <w:r>
        <w:rPr>
          <w:rFonts w:ascii="Times New Roman" w:hAnsi="Times New Roman" w:cs="Times New Roman"/>
          <w:sz w:val="26"/>
          <w:szCs w:val="26"/>
        </w:rPr>
        <w:t>рактике ведения медицинскими организациями своей деятельности поддерживается путем осуществления государственного контроля (надзора), который должен быть тем интенсивнее, чем выше уровень риска причинения вреда жизни и здоровью граждан вследствие деятельно</w:t>
      </w:r>
      <w:r>
        <w:rPr>
          <w:rFonts w:ascii="Times New Roman" w:hAnsi="Times New Roman" w:cs="Times New Roman"/>
          <w:sz w:val="26"/>
          <w:szCs w:val="26"/>
        </w:rPr>
        <w:t>сти той или иной медицинской организации.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>Таким образом, контрольно-надзорные органы существуют и действуют исключительно ради достижения публично значимых целей, обеспечивая безопасность жизни граждан, общества и государства,</w:t>
      </w:r>
      <w:r>
        <w:rPr>
          <w:rFonts w:ascii="Times New Roman" w:hAnsi="Times New Roman" w:cs="Times New Roman"/>
          <w:sz w:val="26"/>
          <w:szCs w:val="26"/>
        </w:rPr>
        <w:t xml:space="preserve"> и поэтому управление рисками </w:t>
      </w:r>
      <w:r>
        <w:rPr>
          <w:rFonts w:ascii="Times New Roman" w:hAnsi="Times New Roman" w:cs="Times New Roman"/>
          <w:sz w:val="26"/>
          <w:szCs w:val="26"/>
        </w:rPr>
        <w:t xml:space="preserve">должно быть необходимым элементом всех процессов, составляющих и сопровождающих их деятельность.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как правило, органы власти не располагают необходимыми ресурсами для осуществления «сплошной» контрольно-надзорной деятельности. Попытки ее реализ</w:t>
      </w:r>
      <w:r>
        <w:rPr>
          <w:rFonts w:ascii="Times New Roman" w:hAnsi="Times New Roman" w:cs="Times New Roman"/>
          <w:sz w:val="26"/>
          <w:szCs w:val="26"/>
        </w:rPr>
        <w:t>овать приводят к неоправданным издержкам подконтрольных субъектов, экстенсивному увеличению бюджетных расходов на покрытие масштабной деятельности ведомств, низкому уровню результативности органов власти в части достижения общественно значимых целей. Так п</w:t>
      </w:r>
      <w:r>
        <w:rPr>
          <w:rFonts w:ascii="Times New Roman" w:hAnsi="Times New Roman" w:cs="Times New Roman"/>
          <w:sz w:val="26"/>
          <w:szCs w:val="26"/>
        </w:rPr>
        <w:t>роисходит потому, что вместо концентрации на значимых проблемах в подконтрольной сфере, контрольно-надзорные органы стараются охватить все. Между тем в подавляющем большинстве случае это объективно невозможно сделать качественно, а зачастую и вовсе не нужн</w:t>
      </w:r>
      <w:r>
        <w:rPr>
          <w:rFonts w:ascii="Times New Roman" w:hAnsi="Times New Roman" w:cs="Times New Roman"/>
          <w:sz w:val="26"/>
          <w:szCs w:val="26"/>
        </w:rPr>
        <w:t xml:space="preserve">о ввиду крайне низкой вероятности возникновения события, вследствие которого может быть причинен существенный вред охраняемым законом ценностям.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рисками, в свою очередь, предполагает аккумулирование усилий органов власти в наиболее чувствительн</w:t>
      </w:r>
      <w:r>
        <w:rPr>
          <w:rFonts w:ascii="Times New Roman" w:hAnsi="Times New Roman" w:cs="Times New Roman"/>
          <w:sz w:val="26"/>
          <w:szCs w:val="26"/>
        </w:rPr>
        <w:t>ых областях – там, где есть бóльшая вероятность реализации событий, следствием которых может стать причинение значительного по объему и последствиям вреда охраняемым законом ценностям. Это позволяет одновременно обеспечить необходимую защиту охраняемым зак</w:t>
      </w:r>
      <w:r>
        <w:rPr>
          <w:rFonts w:ascii="Times New Roman" w:hAnsi="Times New Roman" w:cs="Times New Roman"/>
          <w:sz w:val="26"/>
          <w:szCs w:val="26"/>
        </w:rPr>
        <w:t>оном ценностям, снизить административную нагрузку подконтрольных субъектов, деятельность которых не связана с серьезным риском для публично значимых благ, а также повысить эффективность расходования бюджетных средств, выделяемых органам власти.  Такой подх</w:t>
      </w:r>
      <w:r>
        <w:rPr>
          <w:rFonts w:ascii="Times New Roman" w:hAnsi="Times New Roman" w:cs="Times New Roman"/>
          <w:sz w:val="26"/>
          <w:szCs w:val="26"/>
        </w:rPr>
        <w:t xml:space="preserve">од к организации и осуществлению деятельности называется </w:t>
      </w:r>
      <w:r>
        <w:rPr>
          <w:rFonts w:ascii="Times New Roman" w:hAnsi="Times New Roman" w:cs="Times New Roman"/>
          <w:b/>
          <w:sz w:val="26"/>
          <w:szCs w:val="26"/>
        </w:rPr>
        <w:t>риск-ориентированным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Таким образом, в первую очередь, «выгодоприобретателями» при реализации                    риск-ориентированного подхода становятся граждане, общество и государство, получающие</w:t>
      </w:r>
      <w:r>
        <w:rPr>
          <w:rFonts w:ascii="Times New Roman" w:hAnsi="Times New Roman" w:cs="Times New Roman"/>
          <w:b/>
          <w:sz w:val="26"/>
          <w:szCs w:val="26"/>
        </w:rPr>
        <w:t xml:space="preserve"> максимально возможный уровень защищенности значимых для них благ пропорционально их ценности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5CB5" w:rsidRPr="00EF71C4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В то же время, учитывая разнородность видов государственного контроля (надзора), в том числе ввиду специфики предмета оценки, характеристик и численности подконт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рольных субъектов, реализация риск-ориентированного подхода, включая разновидности применяемого инструментария, для каждого вида контроля (надзора) должна быть индивидуальной и релевантной особенностям конкретной подконтрольной сферы.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Особый характер риск</w:t>
      </w:r>
      <w:r>
        <w:rPr>
          <w:rFonts w:ascii="Times New Roman" w:hAnsi="Times New Roman" w:cs="Times New Roman"/>
          <w:sz w:val="26"/>
          <w:szCs w:val="26"/>
        </w:rPr>
        <w:t xml:space="preserve">ов и статус органов власти порождают определенную </w:t>
      </w:r>
      <w:r>
        <w:rPr>
          <w:rFonts w:ascii="Times New Roman" w:hAnsi="Times New Roman" w:cs="Times New Roman"/>
          <w:b/>
          <w:sz w:val="26"/>
          <w:szCs w:val="26"/>
        </w:rPr>
        <w:t>специфику осуществляемого ими риск-менеджмента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частности, нередко в целях снижения (устранения) риска нужны совместные усилия нескольких контрольно-надзорных органов и/или контрольно-надзорных и разрешит</w:t>
      </w:r>
      <w:r>
        <w:rPr>
          <w:rFonts w:ascii="Times New Roman" w:hAnsi="Times New Roman" w:cs="Times New Roman"/>
          <w:sz w:val="26"/>
          <w:szCs w:val="26"/>
        </w:rPr>
        <w:t>ельных органов, или может быть необходимым изменение обязательных требований, которое требует конструктивного участия органов, осуществляющих нормативное правовое регулирование (включая федеральные органы исполнительной власти, осуществляющие функции по вы</w:t>
      </w:r>
      <w:r>
        <w:rPr>
          <w:rFonts w:ascii="Times New Roman" w:hAnsi="Times New Roman" w:cs="Times New Roman"/>
          <w:sz w:val="26"/>
          <w:szCs w:val="26"/>
        </w:rPr>
        <w:t xml:space="preserve">работке и реализации государственной политики и нормативно-правовому регулированию в соответствующей сфере общественных отношений).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подобных случаях можно говорить о наличии нескольких </w:t>
      </w:r>
      <w:r>
        <w:rPr>
          <w:rFonts w:ascii="Times New Roman" w:hAnsi="Times New Roman" w:cs="Times New Roman"/>
          <w:b/>
          <w:sz w:val="26"/>
          <w:szCs w:val="26"/>
        </w:rPr>
        <w:t>владельцев риска</w:t>
      </w:r>
      <w:r>
        <w:rPr>
          <w:rFonts w:ascii="Times New Roman" w:hAnsi="Times New Roman" w:cs="Times New Roman"/>
          <w:sz w:val="26"/>
          <w:szCs w:val="26"/>
        </w:rPr>
        <w:t>. Это должны учитывать ведомства и вовлекать в проце</w:t>
      </w:r>
      <w:r>
        <w:rPr>
          <w:rFonts w:ascii="Times New Roman" w:hAnsi="Times New Roman" w:cs="Times New Roman"/>
          <w:sz w:val="26"/>
          <w:szCs w:val="26"/>
        </w:rPr>
        <w:t xml:space="preserve">сс управления рисками иных ответственных лиц.  </w:t>
      </w:r>
      <w:r>
        <w:rPr>
          <w:rFonts w:ascii="Times New Roman" w:hAnsi="Times New Roman" w:cs="Times New Roman"/>
          <w:b/>
          <w:sz w:val="26"/>
          <w:szCs w:val="26"/>
        </w:rPr>
        <w:t xml:space="preserve">В то же время контрольно-надзорный орган остается лидером управления рисками в своей подконтрольной сфере, несет </w:t>
      </w:r>
      <w:r>
        <w:rPr>
          <w:rFonts w:ascii="Times New Roman" w:hAnsi="Times New Roman" w:cs="Times New Roman"/>
          <w:b/>
          <w:sz w:val="26"/>
          <w:szCs w:val="26"/>
          <w:highlight w:val="yellow"/>
        </w:rPr>
        <w:t>публичную ответственность</w:t>
      </w:r>
      <w:r>
        <w:rPr>
          <w:rFonts w:ascii="Times New Roman" w:hAnsi="Times New Roman" w:cs="Times New Roman"/>
          <w:b/>
          <w:sz w:val="26"/>
          <w:szCs w:val="26"/>
        </w:rPr>
        <w:t xml:space="preserve"> за уровень безопасности охраняемых законом ценностей и должен предприн</w:t>
      </w:r>
      <w:r>
        <w:rPr>
          <w:rFonts w:ascii="Times New Roman" w:hAnsi="Times New Roman" w:cs="Times New Roman"/>
          <w:b/>
          <w:sz w:val="26"/>
          <w:szCs w:val="26"/>
        </w:rPr>
        <w:t>имать все возможные зависящие от него меры для сбалансированной защиты охраняемых законом ценностей</w:t>
      </w:r>
      <w:r>
        <w:rPr>
          <w:rFonts w:ascii="Times New Roman" w:hAnsi="Times New Roman" w:cs="Times New Roman"/>
          <w:sz w:val="26"/>
          <w:szCs w:val="26"/>
        </w:rPr>
        <w:t xml:space="preserve">. В данной связи принципиальным является, в том числе вопрос о наличии в органе власти и в государстве в целом </w:t>
      </w:r>
      <w:r>
        <w:rPr>
          <w:rFonts w:ascii="Times New Roman" w:hAnsi="Times New Roman" w:cs="Times New Roman"/>
          <w:b/>
          <w:sz w:val="26"/>
          <w:szCs w:val="26"/>
        </w:rPr>
        <w:t>культуры управления рисками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Важным условием </w:t>
      </w:r>
      <w:r>
        <w:rPr>
          <w:rFonts w:ascii="Times New Roman" w:hAnsi="Times New Roman" w:cs="Times New Roman"/>
          <w:sz w:val="26"/>
          <w:szCs w:val="26"/>
        </w:rPr>
        <w:t>адекватного реагирования на риски, возникающие в подконтрольной сфере, являются качество и полнота данных, которые используют органы власти для идентификации, анализа и оценки риска. Для того чтобы риски можно было минимизировать наиболее эффективным образ</w:t>
      </w:r>
      <w:r>
        <w:rPr>
          <w:rFonts w:ascii="Times New Roman" w:hAnsi="Times New Roman" w:cs="Times New Roman"/>
          <w:sz w:val="26"/>
          <w:szCs w:val="26"/>
        </w:rPr>
        <w:t>ом, данные должны отвечать критериям достаточности и достоверности. Поэтому принципиальными вопросами становятся наборы необходимых и достаточных данных, источники их получения, а также механизмы взаимодействия с иными органами и лицами по поводу рисков ох</w:t>
      </w:r>
      <w:r>
        <w:rPr>
          <w:rFonts w:ascii="Times New Roman" w:hAnsi="Times New Roman" w:cs="Times New Roman"/>
          <w:sz w:val="26"/>
          <w:szCs w:val="26"/>
        </w:rPr>
        <w:t>раняемым законом ценностям.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Одним из источников информации, необходимой для управления рисками, являются </w:t>
      </w:r>
      <w:r>
        <w:rPr>
          <w:rFonts w:ascii="Times New Roman" w:hAnsi="Times New Roman" w:cs="Times New Roman"/>
          <w:b/>
          <w:sz w:val="26"/>
          <w:szCs w:val="26"/>
        </w:rPr>
        <w:t>заинтересованные стороны</w:t>
      </w:r>
      <w:r>
        <w:rPr>
          <w:rFonts w:ascii="Times New Roman" w:hAnsi="Times New Roman" w:cs="Times New Roman"/>
          <w:sz w:val="26"/>
          <w:szCs w:val="26"/>
        </w:rPr>
        <w:t xml:space="preserve">: 1) граждане и организации, в результате деятельности которых может возникнуть риск причинения вреда охраняемым законом </w:t>
      </w:r>
      <w:r>
        <w:rPr>
          <w:rFonts w:ascii="Times New Roman" w:hAnsi="Times New Roman" w:cs="Times New Roman"/>
          <w:sz w:val="26"/>
          <w:szCs w:val="26"/>
        </w:rPr>
        <w:t>ценностям (</w:t>
      </w:r>
      <w:r>
        <w:rPr>
          <w:rFonts w:ascii="Times New Roman" w:hAnsi="Times New Roman" w:cs="Times New Roman"/>
          <w:b/>
          <w:sz w:val="26"/>
          <w:szCs w:val="26"/>
        </w:rPr>
        <w:t>подконтрольные субъекты</w:t>
      </w:r>
      <w:r>
        <w:rPr>
          <w:rFonts w:ascii="Times New Roman" w:hAnsi="Times New Roman" w:cs="Times New Roman"/>
          <w:sz w:val="26"/>
          <w:szCs w:val="26"/>
        </w:rPr>
        <w:t xml:space="preserve">), 2) граждане, их объединения, общество и государство в целом, которым может быть причинен вред вследствие деятельности подконтрольных субъектов.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Ввиду повышенной общественной значимости рисков деятельность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контрольно-надзорного органа по управлению рисками должна быть публично открытой.  Это означает, что, во-первых, на всех этапах управления рисками для непосредственного участия следует привлекать заинтересованные стороны, а во-вторых, что все</w:t>
      </w:r>
      <w:r>
        <w:rPr>
          <w:rFonts w:ascii="Times New Roman" w:hAnsi="Times New Roman" w:cs="Times New Roman"/>
          <w:sz w:val="26"/>
          <w:szCs w:val="26"/>
        </w:rPr>
        <w:t xml:space="preserve"> меры, предпринимаемые контрольно-надзорным органом для снижения рисков причинения вреда охраняемым законом ценностям, и достигнутые результаты или факты недостижения поставленных целей должны быть доступны для контроля со стороны общества.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Одной из функц</w:t>
      </w:r>
      <w:r>
        <w:rPr>
          <w:rFonts w:ascii="Times New Roman" w:hAnsi="Times New Roman" w:cs="Times New Roman"/>
          <w:sz w:val="26"/>
          <w:szCs w:val="26"/>
        </w:rPr>
        <w:t xml:space="preserve">иональных особенностей риск-менеджмента является его </w:t>
      </w:r>
      <w:r>
        <w:rPr>
          <w:rFonts w:ascii="Times New Roman" w:hAnsi="Times New Roman" w:cs="Times New Roman"/>
          <w:b/>
          <w:sz w:val="26"/>
          <w:szCs w:val="26"/>
        </w:rPr>
        <w:t>неотъемлемость от процессов и результатов по оценке результативности и эффективности деятельности органов власти и от осуществления профилактики рисков причинения вреда охраняемым законом ценностям</w:t>
      </w:r>
      <w:r>
        <w:rPr>
          <w:rFonts w:ascii="Times New Roman" w:hAnsi="Times New Roman" w:cs="Times New Roman"/>
          <w:sz w:val="26"/>
          <w:szCs w:val="26"/>
        </w:rPr>
        <w:t>.  Так</w:t>
      </w:r>
      <w:r>
        <w:rPr>
          <w:rFonts w:ascii="Times New Roman" w:hAnsi="Times New Roman" w:cs="Times New Roman"/>
          <w:sz w:val="26"/>
          <w:szCs w:val="26"/>
        </w:rPr>
        <w:t>, качество управления рисками и применяемых стратегий, мер и инструментов измеряется, в том числе с помощью показателей результативности и эффективности. Профилактика (недопущение) рисков причинения вреда, в свою очередь, является целью управления рисками,</w:t>
      </w:r>
      <w:r>
        <w:rPr>
          <w:rFonts w:ascii="Times New Roman" w:hAnsi="Times New Roman" w:cs="Times New Roman"/>
          <w:sz w:val="26"/>
          <w:szCs w:val="26"/>
        </w:rPr>
        <w:t xml:space="preserve"> а меры профилактики – одним из основных способов реагирования на риски.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структурированного и целенаправленного управления рисками органы власти нуждаются в построении ведомственных систем управления рисками, которые, с одной стороны, должны соответс</w:t>
      </w:r>
      <w:r>
        <w:rPr>
          <w:rFonts w:ascii="Times New Roman" w:hAnsi="Times New Roman" w:cs="Times New Roman"/>
          <w:sz w:val="26"/>
          <w:szCs w:val="26"/>
        </w:rPr>
        <w:t xml:space="preserve">твовать всем вышеупомянутым критериям, а с другой – учитывать многообразие особенностей̆ различных контрольно-надзорных органов.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нельзя забывать, управление рисками – это не самостоятельное направление деятельности органа власти, а неотъемлемая ч</w:t>
      </w:r>
      <w:r>
        <w:rPr>
          <w:rFonts w:ascii="Times New Roman" w:hAnsi="Times New Roman" w:cs="Times New Roman"/>
          <w:sz w:val="26"/>
          <w:szCs w:val="26"/>
        </w:rPr>
        <w:t xml:space="preserve">асть текущего процесса осуществления функций, характеризующая подход ведомства к их реализации. </w:t>
      </w:r>
      <w:r>
        <w:rPr>
          <w:rFonts w:ascii="Times New Roman" w:hAnsi="Times New Roman" w:cs="Times New Roman"/>
          <w:b/>
          <w:sz w:val="26"/>
          <w:szCs w:val="26"/>
        </w:rPr>
        <w:t xml:space="preserve">Управление рисками – это инструмент эффективного и сбалансированного достижения целей деятельности контрольно-надзорных органов по снижению (устранению) рисков </w:t>
      </w:r>
      <w:r>
        <w:rPr>
          <w:rFonts w:ascii="Times New Roman" w:hAnsi="Times New Roman" w:cs="Times New Roman"/>
          <w:b/>
          <w:sz w:val="26"/>
          <w:szCs w:val="26"/>
        </w:rPr>
        <w:t>причинения вреда, подразумевающий принятие решений с учетом существующих рисков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свою очередь, система управления рисками – вспомогательный механизм, обеспечивающий качество,  бесперебойное течение процесса управления рисками и его органичную включенност</w:t>
      </w:r>
      <w:r>
        <w:rPr>
          <w:rFonts w:ascii="Times New Roman" w:hAnsi="Times New Roman" w:cs="Times New Roman"/>
          <w:sz w:val="26"/>
          <w:szCs w:val="26"/>
        </w:rPr>
        <w:t xml:space="preserve">ь в обычную деятельность органов власти. 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точки зрения координации инструментов организации контрольно-надзорной деятельности, сказанное также означает, что развитие системы управления рисками априори не может опережать или отставать, а идет вместе с ра</w:t>
      </w:r>
      <w:r>
        <w:rPr>
          <w:rFonts w:ascii="Times New Roman" w:hAnsi="Times New Roman" w:cs="Times New Roman"/>
          <w:sz w:val="26"/>
          <w:szCs w:val="26"/>
        </w:rPr>
        <w:t xml:space="preserve">звитием системы управления результативностью и эффективностью ведомства. </w:t>
      </w:r>
    </w:p>
    <w:p w:rsidR="00245CB5" w:rsidRDefault="00245CB5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pStyle w:val="afb"/>
        <w:numPr>
          <w:ilvl w:val="1"/>
          <w:numId w:val="2"/>
        </w:numPr>
        <w:spacing w:after="0" w:line="312" w:lineRule="auto"/>
        <w:ind w:left="0"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_Toc792368"/>
      <w:r>
        <w:rPr>
          <w:rFonts w:ascii="Times New Roman" w:hAnsi="Times New Roman" w:cs="Times New Roman"/>
          <w:sz w:val="26"/>
          <w:szCs w:val="26"/>
        </w:rPr>
        <w:t>Риск и его элементы</w:t>
      </w:r>
      <w:bookmarkEnd w:id="7"/>
    </w:p>
    <w:p w:rsidR="00245CB5" w:rsidRDefault="00245CB5">
      <w:pPr>
        <w:pStyle w:val="afb"/>
        <w:spacing w:after="0" w:line="312" w:lineRule="auto"/>
        <w:ind w:left="0" w:firstLine="851"/>
        <w:jc w:val="both"/>
        <w:outlineLvl w:val="1"/>
        <w:rPr>
          <w:rFonts w:ascii="Times New Roman" w:hAnsi="Times New Roman" w:cs="Times New Roman"/>
          <w:sz w:val="26"/>
          <w:szCs w:val="26"/>
          <w:u w:val="single"/>
        </w:rPr>
      </w:pP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Чтобы управлять риском и применять наиболее подходящие методы воздействия, нужно понимать, из чего он состоит.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Структурно риск представляет собой сочетание сле</w:t>
      </w:r>
      <w:r>
        <w:rPr>
          <w:rFonts w:ascii="Times New Roman" w:hAnsi="Times New Roman" w:cs="Times New Roman"/>
          <w:sz w:val="26"/>
          <w:szCs w:val="26"/>
        </w:rPr>
        <w:t xml:space="preserve">дующих взаимосвязанных элементов: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источник риска;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событие (инцидент, происшествие);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неблагоприятные последствия;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вероятность возникновения риска</w:t>
      </w:r>
      <w:r>
        <w:rPr>
          <w:rStyle w:val="a9"/>
          <w:rFonts w:ascii="Times New Roman" w:hAnsi="Times New Roman" w:cs="Times New Roman"/>
          <w:sz w:val="26"/>
          <w:szCs w:val="26"/>
        </w:rPr>
        <w:footnoteReference w:id="3"/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этого связанная с риском жизненная ситуация, например, авария на опасном производственном о</w:t>
      </w:r>
      <w:r>
        <w:rPr>
          <w:rFonts w:ascii="Times New Roman" w:hAnsi="Times New Roman" w:cs="Times New Roman"/>
          <w:sz w:val="26"/>
          <w:szCs w:val="26"/>
        </w:rPr>
        <w:t xml:space="preserve">бъекте, с  точки зрения структуры риска выглядит следующим образом: неконтролируемый взрыв и выброс в атмосферу опасных веществ – </w:t>
      </w:r>
      <w:r>
        <w:rPr>
          <w:rFonts w:ascii="Times New Roman" w:hAnsi="Times New Roman" w:cs="Times New Roman"/>
          <w:b/>
          <w:sz w:val="26"/>
          <w:szCs w:val="26"/>
        </w:rPr>
        <w:t>событие</w:t>
      </w:r>
      <w:r>
        <w:rPr>
          <w:rFonts w:ascii="Times New Roman" w:hAnsi="Times New Roman" w:cs="Times New Roman"/>
          <w:sz w:val="26"/>
          <w:szCs w:val="26"/>
        </w:rPr>
        <w:t xml:space="preserve">; сильное загрязнение воздуха, гибель работников предприятия и/или получение ими травм вследствие аварии – </w:t>
      </w:r>
      <w:r>
        <w:rPr>
          <w:rFonts w:ascii="Times New Roman" w:hAnsi="Times New Roman" w:cs="Times New Roman"/>
          <w:b/>
          <w:sz w:val="26"/>
          <w:szCs w:val="26"/>
        </w:rPr>
        <w:t>неблагоприят</w:t>
      </w:r>
      <w:r>
        <w:rPr>
          <w:rFonts w:ascii="Times New Roman" w:hAnsi="Times New Roman" w:cs="Times New Roman"/>
          <w:b/>
          <w:sz w:val="26"/>
          <w:szCs w:val="26"/>
        </w:rPr>
        <w:t>ные последствия</w:t>
      </w:r>
      <w:r>
        <w:rPr>
          <w:rFonts w:ascii="Times New Roman" w:hAnsi="Times New Roman" w:cs="Times New Roman"/>
          <w:sz w:val="26"/>
          <w:szCs w:val="26"/>
        </w:rPr>
        <w:t xml:space="preserve">; техническое устройство, применяемое на опасном производственном объекте, неправильное использование и/ или выход из строя которого стало причиной аварии, – </w:t>
      </w:r>
      <w:r>
        <w:rPr>
          <w:rFonts w:ascii="Times New Roman" w:hAnsi="Times New Roman" w:cs="Times New Roman"/>
          <w:b/>
          <w:sz w:val="26"/>
          <w:szCs w:val="26"/>
        </w:rPr>
        <w:t>источник риска</w:t>
      </w:r>
      <w:r>
        <w:rPr>
          <w:rFonts w:ascii="Times New Roman" w:hAnsi="Times New Roman" w:cs="Times New Roman"/>
          <w:sz w:val="26"/>
          <w:szCs w:val="26"/>
        </w:rPr>
        <w:t>; степень возможности возникновения неконтролируемого взрыва и выброс</w:t>
      </w:r>
      <w:r>
        <w:rPr>
          <w:rFonts w:ascii="Times New Roman" w:hAnsi="Times New Roman" w:cs="Times New Roman"/>
          <w:sz w:val="26"/>
          <w:szCs w:val="26"/>
        </w:rPr>
        <w:t xml:space="preserve">а в атмосферу опасных веществ при существующих условиях эксплуатации данного опасного производственного объекта – </w:t>
      </w:r>
      <w:r>
        <w:rPr>
          <w:rFonts w:ascii="Times New Roman" w:hAnsi="Times New Roman" w:cs="Times New Roman"/>
          <w:b/>
          <w:sz w:val="26"/>
          <w:szCs w:val="26"/>
        </w:rPr>
        <w:t>вероятность возникновения риска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Ниже даны более подробные характеристики элементов риска. Поскольку обычно работа органов власти с рисками н</w:t>
      </w:r>
      <w:r>
        <w:rPr>
          <w:rFonts w:ascii="Times New Roman" w:hAnsi="Times New Roman" w:cs="Times New Roman"/>
          <w:sz w:val="26"/>
          <w:szCs w:val="26"/>
        </w:rPr>
        <w:t>ачинается с идентификации ущерба, причиненного охраняемым законом ценностям, и только после исследуются и анализируются событие, вследствие которого возник ущерб, источники и причины события, оценивается вероятность реализации подобных событий в будущем, о</w:t>
      </w:r>
      <w:r>
        <w:rPr>
          <w:rFonts w:ascii="Times New Roman" w:hAnsi="Times New Roman" w:cs="Times New Roman"/>
          <w:sz w:val="26"/>
          <w:szCs w:val="26"/>
        </w:rPr>
        <w:t xml:space="preserve">писание элементов риска приводится в соответствующей последовательности: </w:t>
      </w:r>
      <w:r>
        <w:rPr>
          <w:rFonts w:ascii="Times New Roman" w:hAnsi="Times New Roman" w:cs="Times New Roman"/>
          <w:b/>
          <w:sz w:val="26"/>
          <w:szCs w:val="26"/>
        </w:rPr>
        <w:t>неблагоприятные последствия – событие – источники риска – вероятность возникновения риска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Неблагоприятные последствия</w:t>
      </w:r>
      <w:r>
        <w:rPr>
          <w:rFonts w:ascii="Times New Roman" w:hAnsi="Times New Roman" w:cs="Times New Roman"/>
          <w:sz w:val="26"/>
          <w:szCs w:val="26"/>
        </w:rPr>
        <w:t xml:space="preserve"> – это реально причиненный ущерб охраняемым законом ценностям вс</w:t>
      </w:r>
      <w:r>
        <w:rPr>
          <w:rFonts w:ascii="Times New Roman" w:hAnsi="Times New Roman" w:cs="Times New Roman"/>
          <w:sz w:val="26"/>
          <w:szCs w:val="26"/>
        </w:rPr>
        <w:t xml:space="preserve">ледствие инцидента (происшествия).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Типы неблагоприятных последствий различны и зависят от охраняемых в рамках конкретной системы регулирования ценностей (жизнь и здоровье человека, имущество граждан и организаций, безопасность государства и т.п.).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Послед</w:t>
      </w:r>
      <w:r>
        <w:rPr>
          <w:rFonts w:ascii="Times New Roman" w:hAnsi="Times New Roman" w:cs="Times New Roman"/>
          <w:sz w:val="26"/>
          <w:szCs w:val="26"/>
        </w:rPr>
        <w:t xml:space="preserve">ствия могут быть качественные, количественные или                                        качественно-количественные одновременно. При этом качественные последствия характеризуют такие негативные изменения состояния охраняемых законом ценностей, которые не </w:t>
      </w:r>
      <w:r>
        <w:rPr>
          <w:rFonts w:ascii="Times New Roman" w:hAnsi="Times New Roman" w:cs="Times New Roman"/>
          <w:sz w:val="26"/>
          <w:szCs w:val="26"/>
        </w:rPr>
        <w:t xml:space="preserve">могут быть однозначно измерены/оценены (например, степень ухудшения здоровья людей вследствие загрязнения воздуха в результате незаконных выбросов предприятием загрязняющих веществ в атмосферу), количественные последствия могут быть измерены с применением </w:t>
      </w:r>
      <w:r>
        <w:rPr>
          <w:rFonts w:ascii="Times New Roman" w:hAnsi="Times New Roman" w:cs="Times New Roman"/>
          <w:sz w:val="26"/>
          <w:szCs w:val="26"/>
        </w:rPr>
        <w:t>одних и тех же единиц измерений (например, количество людей, пострадавших ввиду реализации риска, или общая сумма неуплаченного налога).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 </w:t>
      </w:r>
      <w:r>
        <w:rPr>
          <w:rFonts w:ascii="Times New Roman" w:hAnsi="Times New Roman" w:cs="Times New Roman"/>
          <w:b/>
          <w:sz w:val="26"/>
          <w:szCs w:val="26"/>
        </w:rPr>
        <w:t>событием</w:t>
      </w:r>
      <w:r>
        <w:rPr>
          <w:rFonts w:ascii="Times New Roman" w:hAnsi="Times New Roman" w:cs="Times New Roman"/>
          <w:sz w:val="26"/>
          <w:szCs w:val="26"/>
        </w:rPr>
        <w:t xml:space="preserve"> следует понимать некое явление, возникшее в связи с деятельностью подконтрольного субъекта и означающее на</w:t>
      </w:r>
      <w:r>
        <w:rPr>
          <w:rFonts w:ascii="Times New Roman" w:hAnsi="Times New Roman" w:cs="Times New Roman"/>
          <w:sz w:val="26"/>
          <w:szCs w:val="26"/>
        </w:rPr>
        <w:t>рушение нормального хода осуществления такой деятельности, или явление, обусловленное природными или                                                 природно-антропогенными факторами, которое влечет за собой (может повлечь) причинение вреда охраняемым зако</w:t>
      </w:r>
      <w:r>
        <w:rPr>
          <w:rFonts w:ascii="Times New Roman" w:hAnsi="Times New Roman" w:cs="Times New Roman"/>
          <w:sz w:val="26"/>
          <w:szCs w:val="26"/>
        </w:rPr>
        <w:t xml:space="preserve">ном ценностям.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 различных  сфер  жизни  типы  событий будут различаться. Так, например, в «технологических» сферах событиями, связанными с риском причинения вреда, могут стать аварии, катастрофы, чрезвычайные ситуации, пожары, выход из строя оборудова</w:t>
      </w:r>
      <w:r>
        <w:rPr>
          <w:rFonts w:ascii="Times New Roman" w:hAnsi="Times New Roman" w:cs="Times New Roman"/>
          <w:sz w:val="26"/>
          <w:szCs w:val="26"/>
        </w:rPr>
        <w:t>ния и т.п.;  для финансово-экономической сферы – действия, направленные на уклонение от уплаты налогов и сборов, образование сговоров, картелей, необоснованное ограничение конкуренции и т.п. или заключающиеся в соответствующих фактах; для областей регулиро</w:t>
      </w:r>
      <w:r>
        <w:rPr>
          <w:rFonts w:ascii="Times New Roman" w:hAnsi="Times New Roman" w:cs="Times New Roman"/>
          <w:sz w:val="26"/>
          <w:szCs w:val="26"/>
        </w:rPr>
        <w:t xml:space="preserve">вания, направленного на защиту здоровья и благополучия человека, экологии, животных, растений, - несчастные случаи, отравления, заболевания, эпидемии, экологические катастрофы, в том числе аварии, вследствие которых происходит распространение загрязняющих </w:t>
      </w:r>
      <w:r>
        <w:rPr>
          <w:rFonts w:ascii="Times New Roman" w:hAnsi="Times New Roman" w:cs="Times New Roman"/>
          <w:sz w:val="26"/>
          <w:szCs w:val="26"/>
        </w:rPr>
        <w:t>веществ, прочие аналогичные инциденты.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в контексте структуры риска сам по себе факт нарушения обязательных требований не является событием. Событие – возможное следствие такого нарушения. Здесь же нужно отметить, что если нарушение обязательных тр</w:t>
      </w:r>
      <w:r>
        <w:rPr>
          <w:rFonts w:ascii="Times New Roman" w:hAnsi="Times New Roman" w:cs="Times New Roman"/>
          <w:sz w:val="26"/>
          <w:szCs w:val="26"/>
        </w:rPr>
        <w:t>ебований потенциально не может привести к возникновению события, влекущего ущерб охраняемым законом ценностям, то с большой долей вероятности такие обязательные требования избыточны.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Элементом риска становятся только такие события, которые </w:t>
      </w:r>
      <w:r>
        <w:rPr>
          <w:rFonts w:ascii="Times New Roman" w:hAnsi="Times New Roman" w:cs="Times New Roman"/>
          <w:b/>
          <w:sz w:val="26"/>
          <w:szCs w:val="26"/>
        </w:rPr>
        <w:t>повлекли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b/>
          <w:sz w:val="26"/>
          <w:szCs w:val="26"/>
        </w:rPr>
        <w:t>объективно могут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повлечь за собой </w:t>
      </w:r>
      <w:r>
        <w:rPr>
          <w:rFonts w:ascii="Times New Roman" w:hAnsi="Times New Roman" w:cs="Times New Roman"/>
          <w:b/>
          <w:sz w:val="26"/>
          <w:szCs w:val="26"/>
        </w:rPr>
        <w:t>неблагоприятные последствия</w:t>
      </w:r>
      <w:r>
        <w:rPr>
          <w:rFonts w:ascii="Times New Roman" w:hAnsi="Times New Roman" w:cs="Times New Roman"/>
          <w:sz w:val="26"/>
          <w:szCs w:val="26"/>
        </w:rPr>
        <w:t xml:space="preserve"> (с той или иной долей вероятности). Если реализовавшееся событие, являющееся элементом риска, фактически не повлекло за собой предполагаемых последствий, то такое событие может быть охарактеризо</w:t>
      </w:r>
      <w:r>
        <w:rPr>
          <w:rFonts w:ascii="Times New Roman" w:hAnsi="Times New Roman" w:cs="Times New Roman"/>
          <w:sz w:val="26"/>
          <w:szCs w:val="26"/>
        </w:rPr>
        <w:t xml:space="preserve">вано как угроза причинения вреда.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Источник риска</w:t>
      </w:r>
      <w:r>
        <w:rPr>
          <w:rFonts w:ascii="Times New Roman" w:hAnsi="Times New Roman" w:cs="Times New Roman"/>
          <w:sz w:val="26"/>
          <w:szCs w:val="26"/>
        </w:rPr>
        <w:t xml:space="preserve"> представляет собой обязательный структурный элемент, который сам по себе или в сочетании с другими имеет внутренний̆ потенциал для порождения риска. Также можно сказать, что источник риска – это предпосылк</w:t>
      </w:r>
      <w:r>
        <w:rPr>
          <w:rFonts w:ascii="Times New Roman" w:hAnsi="Times New Roman" w:cs="Times New Roman"/>
          <w:sz w:val="26"/>
          <w:szCs w:val="26"/>
        </w:rPr>
        <w:t xml:space="preserve">а  наступления события, вследствие которого может быть причинен вред охраняемым законом ценностям.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зависимости от характеристик регулируемой сферы источниками рисками могут служить природные явления, объекты, различные присущие юридическим лицам и индив</w:t>
      </w:r>
      <w:r>
        <w:rPr>
          <w:rFonts w:ascii="Times New Roman" w:hAnsi="Times New Roman" w:cs="Times New Roman"/>
          <w:sz w:val="26"/>
          <w:szCs w:val="26"/>
        </w:rPr>
        <w:t xml:space="preserve">идуальным предпринимателям характеристики, характеристики их деятельности, используемых ими производственных объектов, а также результатов их деятельности. 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например, для ситуации дорожной аварии, источниками риска могут являться техническое состояни</w:t>
      </w:r>
      <w:r>
        <w:rPr>
          <w:rFonts w:ascii="Times New Roman" w:hAnsi="Times New Roman" w:cs="Times New Roman"/>
          <w:sz w:val="26"/>
          <w:szCs w:val="26"/>
        </w:rPr>
        <w:t>е автомобиля, состояние дорожного покрытия, природные условия, квалификация и состояние водителя, время суток, соблюдение скоростного режима и т.д.  Для случаев массового отравления продуктом, приобретенном у одного продавца, источниками риска могут быть у</w:t>
      </w:r>
      <w:r>
        <w:rPr>
          <w:rFonts w:ascii="Times New Roman" w:hAnsi="Times New Roman" w:cs="Times New Roman"/>
          <w:sz w:val="26"/>
          <w:szCs w:val="26"/>
        </w:rPr>
        <w:t xml:space="preserve">словия производства, транспортировки и/или хранения продукта, и т.д.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Событие всегда имеет одну или несколько </w:t>
      </w:r>
      <w:r>
        <w:rPr>
          <w:rFonts w:ascii="Times New Roman" w:hAnsi="Times New Roman" w:cs="Times New Roman"/>
          <w:b/>
          <w:sz w:val="26"/>
          <w:szCs w:val="26"/>
        </w:rPr>
        <w:t>причин</w:t>
      </w:r>
      <w:r>
        <w:rPr>
          <w:rFonts w:ascii="Times New Roman" w:hAnsi="Times New Roman" w:cs="Times New Roman"/>
          <w:sz w:val="26"/>
          <w:szCs w:val="26"/>
        </w:rPr>
        <w:t>. Выяснение причин события, повлекшего причинение вреда охраняемым законом ценностям, важно для установления причинно-следственной связи меж</w:t>
      </w:r>
      <w:r>
        <w:rPr>
          <w:rFonts w:ascii="Times New Roman" w:hAnsi="Times New Roman" w:cs="Times New Roman"/>
          <w:sz w:val="26"/>
          <w:szCs w:val="26"/>
        </w:rPr>
        <w:t>ду причиненным ущербом и произошедшим событием и определения конкретных действий (бездействия) граждан и организаций, приведших к реализации риска.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Причины</w:t>
      </w:r>
      <w:r>
        <w:rPr>
          <w:rFonts w:ascii="Times New Roman" w:hAnsi="Times New Roman" w:cs="Times New Roman"/>
          <w:sz w:val="26"/>
          <w:szCs w:val="26"/>
        </w:rPr>
        <w:t xml:space="preserve"> событий тесно связаны с </w:t>
      </w:r>
      <w:r>
        <w:rPr>
          <w:rFonts w:ascii="Times New Roman" w:hAnsi="Times New Roman" w:cs="Times New Roman"/>
          <w:b/>
          <w:sz w:val="26"/>
          <w:szCs w:val="26"/>
        </w:rPr>
        <w:t>источниками риска</w:t>
      </w:r>
      <w:r>
        <w:rPr>
          <w:rFonts w:ascii="Times New Roman" w:hAnsi="Times New Roman" w:cs="Times New Roman"/>
          <w:sz w:val="26"/>
          <w:szCs w:val="26"/>
        </w:rPr>
        <w:t>. Как правило, причина – это какая-либо характеристика сост</w:t>
      </w:r>
      <w:r>
        <w:rPr>
          <w:rFonts w:ascii="Times New Roman" w:hAnsi="Times New Roman" w:cs="Times New Roman"/>
          <w:sz w:val="26"/>
          <w:szCs w:val="26"/>
        </w:rPr>
        <w:t>ояния источника риска, повышающая вероятность возникновения события, следствием наступления которого может стать причинение вреда охраняемым законом ценностям.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рассмотренного примера дорожной аварии, причинами риска могут служить плохое техническое сос</w:t>
      </w:r>
      <w:r>
        <w:rPr>
          <w:rFonts w:ascii="Times New Roman" w:hAnsi="Times New Roman" w:cs="Times New Roman"/>
          <w:sz w:val="26"/>
          <w:szCs w:val="26"/>
        </w:rPr>
        <w:t>тояние автомобиля, наличие повреждений дорожного покрытия, плохие природные условия (сильный туман, проливной дождь), состояние алкогольного опьянения водителя, ночное время суток, превышение скоростного режима более чем на 50 км/ч и т.д. Для примера массо</w:t>
      </w:r>
      <w:r>
        <w:rPr>
          <w:rFonts w:ascii="Times New Roman" w:hAnsi="Times New Roman" w:cs="Times New Roman"/>
          <w:sz w:val="26"/>
          <w:szCs w:val="26"/>
        </w:rPr>
        <w:t>вого отравления людей причинами рисками могут быть нарушение санитарных норм при производстве продукта, несоблюдение температурного режима при транспортировке и/или хранении и т.п. Для примера аварии на опасном производственном объекте причина риска – непр</w:t>
      </w:r>
      <w:r>
        <w:rPr>
          <w:rFonts w:ascii="Times New Roman" w:hAnsi="Times New Roman" w:cs="Times New Roman"/>
          <w:sz w:val="26"/>
          <w:szCs w:val="26"/>
        </w:rPr>
        <w:t xml:space="preserve">авильное  использование работниками                          и/ или несвоевременное или неполное техническое обслуживание, приведшее к выходу из строя технического устройства, используемого на соответствующем объекте.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Часто сопряженное с риском событие мо</w:t>
      </w:r>
      <w:r>
        <w:rPr>
          <w:rFonts w:ascii="Times New Roman" w:hAnsi="Times New Roman" w:cs="Times New Roman"/>
          <w:sz w:val="26"/>
          <w:szCs w:val="26"/>
        </w:rPr>
        <w:t xml:space="preserve">жет быть обусловлено не одним, а несколькими причинами. Комбинация причин для реализации событий, следствием наступления которых может стать причинение вреда для охраняемых законом ценностей, называется </w:t>
      </w:r>
      <w:r>
        <w:rPr>
          <w:rFonts w:ascii="Times New Roman" w:hAnsi="Times New Roman" w:cs="Times New Roman"/>
          <w:i/>
          <w:sz w:val="26"/>
          <w:szCs w:val="26"/>
        </w:rPr>
        <w:t>«профиль риска»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ситуации дорожной аварии профиле</w:t>
      </w:r>
      <w:r>
        <w:rPr>
          <w:rFonts w:ascii="Times New Roman" w:hAnsi="Times New Roman" w:cs="Times New Roman"/>
          <w:sz w:val="26"/>
          <w:szCs w:val="26"/>
        </w:rPr>
        <w:t>м риска может быть выезд неисправного автомобиля, лишенного современных средств пассивной безопасности (ремни безопасности, подушки безопасности и т.п.), на поврежденное дорожное покрытие, в сильный туман, сопровождающейся проливным дождем, водителя, в сос</w:t>
      </w:r>
      <w:r>
        <w:rPr>
          <w:rFonts w:ascii="Times New Roman" w:hAnsi="Times New Roman" w:cs="Times New Roman"/>
          <w:sz w:val="26"/>
          <w:szCs w:val="26"/>
        </w:rPr>
        <w:t>тоянии алкогольного опьянения водителя, в ночное время суток, с превышение скоростного режима более чем на 50 км/ч.  Теоретически число потенциальных профилей риска может определяться числом всех возможных сочетаний причин риска.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Вероятность</w:t>
      </w:r>
      <w:r>
        <w:rPr>
          <w:rFonts w:ascii="Times New Roman" w:hAnsi="Times New Roman" w:cs="Times New Roman"/>
          <w:sz w:val="26"/>
          <w:szCs w:val="26"/>
        </w:rPr>
        <w:t xml:space="preserve"> – это степень </w:t>
      </w:r>
      <w:r>
        <w:rPr>
          <w:rFonts w:ascii="Times New Roman" w:hAnsi="Times New Roman" w:cs="Times New Roman"/>
          <w:sz w:val="26"/>
          <w:szCs w:val="26"/>
        </w:rPr>
        <w:t xml:space="preserve">возможности того, что событие, сопряженное с риском, произойдет. Вероятность зависит от влияния источников риска и связанных с ними причин риска на наступление события; вероятность рассчитывается математически, исходя из предшествующих данных о причинении </w:t>
      </w:r>
      <w:r>
        <w:rPr>
          <w:rFonts w:ascii="Times New Roman" w:hAnsi="Times New Roman" w:cs="Times New Roman"/>
          <w:sz w:val="26"/>
          <w:szCs w:val="26"/>
        </w:rPr>
        <w:t>вреда вследствие наступления событий, вызванных определенными источниками и причинами риска.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учитывая структуру риска, для выявления рисков необходимо рассмотреть события, которые возможно произойдут (уровень неопределенности характеризуется</w:t>
      </w:r>
      <w:r>
        <w:rPr>
          <w:rFonts w:ascii="Times New Roman" w:hAnsi="Times New Roman" w:cs="Times New Roman"/>
          <w:sz w:val="26"/>
          <w:szCs w:val="26"/>
        </w:rPr>
        <w:t xml:space="preserve"> вероятностью возникновения) из-за наличия источников риска и связанных с ними возможных причин, а также предугадать его возможные последствия. </w:t>
      </w:r>
    </w:p>
    <w:p w:rsidR="00245CB5" w:rsidRDefault="00245CB5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pStyle w:val="afb"/>
        <w:numPr>
          <w:ilvl w:val="1"/>
          <w:numId w:val="2"/>
        </w:numPr>
        <w:spacing w:after="0" w:line="312" w:lineRule="auto"/>
        <w:ind w:left="0"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_Toc792369"/>
      <w:r>
        <w:rPr>
          <w:rFonts w:ascii="Times New Roman" w:hAnsi="Times New Roman" w:cs="Times New Roman"/>
          <w:sz w:val="26"/>
          <w:szCs w:val="26"/>
        </w:rPr>
        <w:t>Базовые элементы управления рисками</w:t>
      </w:r>
      <w:bookmarkEnd w:id="8"/>
    </w:p>
    <w:p w:rsidR="00245CB5" w:rsidRDefault="00245CB5">
      <w:pPr>
        <w:pStyle w:val="afb"/>
        <w:spacing w:after="0" w:line="312" w:lineRule="auto"/>
        <w:ind w:left="0"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pStyle w:val="3"/>
        <w:numPr>
          <w:ilvl w:val="2"/>
          <w:numId w:val="2"/>
        </w:numPr>
        <w:tabs>
          <w:tab w:val="left" w:pos="9078"/>
        </w:tabs>
        <w:rPr>
          <w:rFonts w:ascii="Times New Roman" w:hAnsi="Times New Roman" w:cs="Times New Roman"/>
          <w:color w:val="auto"/>
          <w:sz w:val="26"/>
          <w:szCs w:val="26"/>
        </w:rPr>
      </w:pPr>
      <w:bookmarkStart w:id="9" w:name="_Toc792370"/>
      <w:r>
        <w:rPr>
          <w:rFonts w:ascii="Times New Roman" w:hAnsi="Times New Roman" w:cs="Times New Roman"/>
          <w:color w:val="auto"/>
          <w:sz w:val="26"/>
          <w:szCs w:val="26"/>
        </w:rPr>
        <w:t>Общая характеристика базовых элементов управления рисками</w:t>
      </w:r>
      <w:bookmarkEnd w:id="9"/>
    </w:p>
    <w:p w:rsidR="00245CB5" w:rsidRDefault="00EF71C4">
      <w:pPr>
        <w:pStyle w:val="3"/>
        <w:tabs>
          <w:tab w:val="left" w:pos="9078"/>
        </w:tabs>
        <w:ind w:left="1776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Непосредствен</w:t>
      </w:r>
      <w:r>
        <w:rPr>
          <w:rFonts w:ascii="Times New Roman" w:hAnsi="Times New Roman" w:cs="Times New Roman"/>
          <w:sz w:val="26"/>
          <w:szCs w:val="26"/>
        </w:rPr>
        <w:t>но процесс управления рисками схематично можно представить как замкнутую совокупность последовательных базовых элементов</w:t>
      </w:r>
      <w:r>
        <w:rPr>
          <w:rStyle w:val="a9"/>
          <w:rFonts w:ascii="Times New Roman" w:hAnsi="Times New Roman" w:cs="Times New Roman"/>
          <w:sz w:val="26"/>
          <w:szCs w:val="26"/>
        </w:rPr>
        <w:footnoteReference w:id="4"/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анализ подконтрольной сферы («установление контекста»)</w:t>
      </w:r>
      <w:r>
        <w:rPr>
          <w:rFonts w:ascii="Times New Roman" w:hAnsi="Times New Roman" w:cs="Times New Roman"/>
          <w:i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уяснение нормативных параметров сферы регулирования, целей, ценностей и з</w:t>
      </w:r>
      <w:r>
        <w:rPr>
          <w:rFonts w:ascii="Times New Roman" w:hAnsi="Times New Roman" w:cs="Times New Roman"/>
          <w:sz w:val="26"/>
          <w:szCs w:val="26"/>
        </w:rPr>
        <w:t xml:space="preserve">адач деятельности органа власти по их защите, определение заинтересованных сторон и иных владельцев риска; 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b/>
          <w:sz w:val="26"/>
          <w:szCs w:val="26"/>
        </w:rPr>
        <w:t xml:space="preserve">идентификация (выявление) рисков </w:t>
      </w:r>
      <w:r>
        <w:rPr>
          <w:rFonts w:ascii="Times New Roman" w:hAnsi="Times New Roman" w:cs="Times New Roman"/>
          <w:sz w:val="26"/>
          <w:szCs w:val="26"/>
        </w:rPr>
        <w:t xml:space="preserve">– установление максимально большого спектра вероятных событий, которые могут произойти в подконтрольной сфере и </w:t>
      </w:r>
      <w:r>
        <w:rPr>
          <w:rFonts w:ascii="Times New Roman" w:hAnsi="Times New Roman" w:cs="Times New Roman"/>
          <w:sz w:val="26"/>
          <w:szCs w:val="26"/>
        </w:rPr>
        <w:t>повлечь причинение ущерба охраняемым законом ценностям;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b/>
          <w:sz w:val="26"/>
          <w:szCs w:val="26"/>
        </w:rPr>
        <w:t>анализ и ранжирование рисков по значимости</w:t>
      </w:r>
      <w:r>
        <w:rPr>
          <w:rFonts w:ascii="Times New Roman" w:hAnsi="Times New Roman" w:cs="Times New Roman"/>
          <w:sz w:val="26"/>
          <w:szCs w:val="26"/>
        </w:rPr>
        <w:t xml:space="preserve"> – установление источников и основных причин рисков, определение рисков, которые имеют для общества наибольшую важность;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начиная с наиболее значимых рисков – </w:t>
      </w:r>
      <w:r>
        <w:rPr>
          <w:rFonts w:ascii="Times New Roman" w:hAnsi="Times New Roman" w:cs="Times New Roman"/>
          <w:b/>
          <w:sz w:val="26"/>
          <w:szCs w:val="26"/>
        </w:rPr>
        <w:t>определение и реализация стратегий и 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реагирования на риск</w:t>
      </w:r>
      <w:r>
        <w:rPr>
          <w:rFonts w:ascii="Times New Roman" w:hAnsi="Times New Roman" w:cs="Times New Roman"/>
          <w:sz w:val="26"/>
          <w:szCs w:val="26"/>
        </w:rPr>
        <w:t xml:space="preserve"> (основные стратегии: смягчение риска; избегание риска; передача (разделение) риска; основные меры реагирования на риск: профилактические меры, мероприятия по контролю, изменение нормативного регулирования);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>
        <w:rPr>
          <w:rFonts w:ascii="Times New Roman" w:hAnsi="Times New Roman" w:cs="Times New Roman"/>
          <w:b/>
          <w:sz w:val="26"/>
          <w:szCs w:val="26"/>
        </w:rPr>
        <w:t>мониторинг, повторный анализ и совершенствова</w:t>
      </w:r>
      <w:r>
        <w:rPr>
          <w:rFonts w:ascii="Times New Roman" w:hAnsi="Times New Roman" w:cs="Times New Roman"/>
          <w:b/>
          <w:sz w:val="26"/>
          <w:szCs w:val="26"/>
        </w:rPr>
        <w:t>ние</w:t>
      </w:r>
      <w:r>
        <w:rPr>
          <w:rFonts w:ascii="Times New Roman" w:hAnsi="Times New Roman" w:cs="Times New Roman"/>
          <w:sz w:val="26"/>
          <w:szCs w:val="26"/>
        </w:rPr>
        <w:t xml:space="preserve"> процесса управления рисками.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Мероприятия, направленные на выявление, анализ и ранжирование рисков в совокупности представляют собой деятельность по </w:t>
      </w:r>
      <w:r>
        <w:rPr>
          <w:rFonts w:ascii="Times New Roman" w:hAnsi="Times New Roman" w:cs="Times New Roman"/>
          <w:i/>
          <w:sz w:val="26"/>
          <w:szCs w:val="26"/>
        </w:rPr>
        <w:t>оценке рисков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5CB5" w:rsidRDefault="00245CB5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pStyle w:val="3"/>
        <w:numPr>
          <w:ilvl w:val="2"/>
          <w:numId w:val="2"/>
        </w:numPr>
        <w:ind w:firstLine="851"/>
        <w:rPr>
          <w:rFonts w:ascii="Times New Roman" w:hAnsi="Times New Roman" w:cs="Times New Roman"/>
          <w:color w:val="auto"/>
          <w:sz w:val="26"/>
          <w:szCs w:val="26"/>
        </w:rPr>
      </w:pPr>
      <w:bookmarkStart w:id="10" w:name="_Toc792371"/>
      <w:r>
        <w:rPr>
          <w:rFonts w:ascii="Times New Roman" w:hAnsi="Times New Roman" w:cs="Times New Roman"/>
          <w:color w:val="auto"/>
          <w:sz w:val="26"/>
          <w:szCs w:val="26"/>
        </w:rPr>
        <w:t>Анализ подконтрольной сферы</w:t>
      </w:r>
      <w:bookmarkEnd w:id="10"/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подконтрольной сферы («установление контекста») – важ</w:t>
      </w:r>
      <w:r>
        <w:rPr>
          <w:rFonts w:ascii="Times New Roman" w:hAnsi="Times New Roman" w:cs="Times New Roman"/>
          <w:sz w:val="26"/>
          <w:szCs w:val="26"/>
        </w:rPr>
        <w:t>ный этап процесса управления рисками, в ходе которого определяются цели деятельности                                      контрольно-надзорного органа и связанные с ними охраняемые законом ценности, устанавливается круг заинтересованных сторон и владельцев</w:t>
      </w:r>
      <w:r>
        <w:rPr>
          <w:rFonts w:ascii="Times New Roman" w:hAnsi="Times New Roman" w:cs="Times New Roman"/>
          <w:sz w:val="26"/>
          <w:szCs w:val="26"/>
        </w:rPr>
        <w:t xml:space="preserve"> рисков, а также анализируется подконтрольная среда. 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список исходных данных для процесса управления рисками включает </w:t>
      </w:r>
      <w:r>
        <w:rPr>
          <w:rFonts w:ascii="Times New Roman" w:hAnsi="Times New Roman" w:cs="Times New Roman"/>
          <w:b/>
          <w:sz w:val="26"/>
          <w:szCs w:val="26"/>
        </w:rPr>
        <w:t>цели органа власти, охраняемые законом ценности, информацию о заинтересованных сторонах и владельцах рисков, характеристику</w:t>
      </w:r>
      <w:r>
        <w:rPr>
          <w:rFonts w:ascii="Times New Roman" w:hAnsi="Times New Roman" w:cs="Times New Roman"/>
          <w:b/>
          <w:sz w:val="26"/>
          <w:szCs w:val="26"/>
        </w:rPr>
        <w:t xml:space="preserve"> подконтрольной среды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5CB5" w:rsidRDefault="00245CB5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tabs>
          <w:tab w:val="left" w:pos="5696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Цели деятельности органов власти</w:t>
      </w:r>
      <w:r>
        <w:rPr>
          <w:rFonts w:ascii="Times New Roman" w:hAnsi="Times New Roman" w:cs="Times New Roman"/>
          <w:i/>
          <w:sz w:val="26"/>
          <w:szCs w:val="26"/>
        </w:rPr>
        <w:tab/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Существование вида государственного контроля (надзора) оправдано, когда он направлен на обеспечение безопасности охраняемых законом ценностей от рисков причинения им вреда, если такие риски не м</w:t>
      </w:r>
      <w:r>
        <w:rPr>
          <w:rFonts w:ascii="Times New Roman" w:hAnsi="Times New Roman" w:cs="Times New Roman"/>
          <w:sz w:val="26"/>
          <w:szCs w:val="26"/>
        </w:rPr>
        <w:t xml:space="preserve">огут быть охвачены иными видами государственного контроля (надзора) и (или) контроль (надзор) не может быть заменен более мягкими регуляторными механизмами. 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свою очередь, контрольно-надзорные органы, будучи частью единой системы органов исполнительной в</w:t>
      </w:r>
      <w:r>
        <w:rPr>
          <w:rFonts w:ascii="Times New Roman" w:hAnsi="Times New Roman" w:cs="Times New Roman"/>
          <w:sz w:val="26"/>
          <w:szCs w:val="26"/>
        </w:rPr>
        <w:t>ласти, должны оставаться проводниками экономической политики государства, а потому они также ответственны за экономическое развитие и рост.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Следовательно, цели контрольно-надзорных органов заключаются в </w:t>
      </w:r>
      <w:r>
        <w:rPr>
          <w:rFonts w:ascii="Times New Roman" w:hAnsi="Times New Roman" w:cs="Times New Roman"/>
          <w:b/>
          <w:sz w:val="26"/>
          <w:szCs w:val="26"/>
        </w:rPr>
        <w:t>сбалансированной защите</w:t>
      </w:r>
      <w:r>
        <w:rPr>
          <w:rFonts w:ascii="Times New Roman" w:hAnsi="Times New Roman" w:cs="Times New Roman"/>
          <w:sz w:val="26"/>
          <w:szCs w:val="26"/>
        </w:rPr>
        <w:t xml:space="preserve"> охраняемых законом ценностей,</w:t>
      </w:r>
      <w:r>
        <w:rPr>
          <w:rFonts w:ascii="Times New Roman" w:hAnsi="Times New Roman" w:cs="Times New Roman"/>
          <w:sz w:val="26"/>
          <w:szCs w:val="26"/>
        </w:rPr>
        <w:t xml:space="preserve"> не препятствующей экономическому развитию в подконтрольной сфере и экономике в целом.</w:t>
      </w:r>
    </w:p>
    <w:p w:rsidR="00245CB5" w:rsidRPr="00EF71C4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Стратегические цели органов власти, как правило, определены в стратегических документах, относящихся к соответствующей области общественных отношений (стратегии и доктри</w:t>
      </w:r>
      <w:r>
        <w:rPr>
          <w:rFonts w:ascii="Times New Roman" w:hAnsi="Times New Roman" w:cs="Times New Roman"/>
          <w:sz w:val="26"/>
          <w:szCs w:val="26"/>
        </w:rPr>
        <w:t xml:space="preserve">ны безопасности, концепции безопасности, развития и иными стратегическими документами общегосударственного масштаба), а иногда – также в правовых документах, устанавливающих цели соответствующей сферы регулирования и статус органа власти. </w:t>
      </w:r>
      <w:r>
        <w:rPr>
          <w:rFonts w:ascii="Times New Roman" w:hAnsi="Times New Roman" w:cs="Times New Roman"/>
          <w:sz w:val="26"/>
          <w:szCs w:val="26"/>
          <w:highlight w:val="yellow"/>
        </w:rPr>
        <w:t>Данный уровень фо</w:t>
      </w:r>
      <w:r>
        <w:rPr>
          <w:rFonts w:ascii="Times New Roman" w:hAnsi="Times New Roman" w:cs="Times New Roman"/>
          <w:sz w:val="26"/>
          <w:szCs w:val="26"/>
          <w:highlight w:val="yellow"/>
        </w:rPr>
        <w:t>рмулирования целей предполагает, что соответствующими определенной сфере жизни стратегическими целями, как правило, охватывается сразу несколько видов государственного контроля (надзора), обеспечивающих безопасность в этой области по различным направлениям</w:t>
      </w:r>
      <w:r>
        <w:rPr>
          <w:rFonts w:ascii="Times New Roman" w:hAnsi="Times New Roman" w:cs="Times New Roman"/>
          <w:sz w:val="26"/>
          <w:szCs w:val="26"/>
          <w:highlight w:val="yellow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цели деятельности органа власти не следует путать с его функциями (полномочиями). Стратегические цели органа власти – это, по сути, цели правового регулирования в определенной сфере общественных отношений. 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деятельности каждого контрольно</w:t>
      </w:r>
      <w:r>
        <w:rPr>
          <w:rFonts w:ascii="Times New Roman" w:hAnsi="Times New Roman" w:cs="Times New Roman"/>
          <w:sz w:val="26"/>
          <w:szCs w:val="26"/>
        </w:rPr>
        <w:t xml:space="preserve">-надзорного органа (долгосрочные, среднесрочные и краткосрочные) формулируются ведомством, в том числе в </w:t>
      </w:r>
      <w:r>
        <w:rPr>
          <w:rFonts w:ascii="Times New Roman" w:hAnsi="Times New Roman" w:cs="Times New Roman"/>
          <w:b/>
          <w:sz w:val="26"/>
          <w:szCs w:val="26"/>
        </w:rPr>
        <w:t>публичной декларации целей и задач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Данные цели должны являться продолжением и углублением стратегических целей, поэтому, при необходимости, нуждаются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соответствующем корректировании. 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 же время важно понимать, что абсолютная безопасность может не рассматриваться в качестве цели, независимо от ее уровня. При текущем технологическом развитии данная цель может быть не достижима, а в стремлении к нуле</w:t>
      </w:r>
      <w:r>
        <w:rPr>
          <w:rFonts w:ascii="Times New Roman" w:hAnsi="Times New Roman" w:cs="Times New Roman"/>
          <w:sz w:val="26"/>
          <w:szCs w:val="26"/>
        </w:rPr>
        <w:t xml:space="preserve">вому риску контроль (надзор) может не быть эффективным и содействовать экономическому развитию. 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свою очередь, пересмотр конкретных целевых значений должен быть обусловлен повышением уровня безопасности охраняемых законом ценностей и не может повлечь уве</w:t>
      </w:r>
      <w:r>
        <w:rPr>
          <w:rFonts w:ascii="Times New Roman" w:hAnsi="Times New Roman" w:cs="Times New Roman"/>
          <w:sz w:val="26"/>
          <w:szCs w:val="26"/>
        </w:rPr>
        <w:t xml:space="preserve">личение уровня риска и ущерба в подконтрольной сфере, а также создавать барьеры для экономического развития. </w:t>
      </w:r>
    </w:p>
    <w:p w:rsidR="00245CB5" w:rsidRDefault="00245CB5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pStyle w:val="afb"/>
        <w:numPr>
          <w:ilvl w:val="0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Ценности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Следующий шаг, необходимый для идентификации риска, – определение охраняемых законом ценностей, на защиту которых направлена деятельность контрольно-надзорного органа.  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положений глав 1, 2 Конституции Российской Федерации  к охраняемым законом це</w:t>
      </w:r>
      <w:r>
        <w:rPr>
          <w:rFonts w:ascii="Times New Roman" w:hAnsi="Times New Roman" w:cs="Times New Roman"/>
          <w:sz w:val="26"/>
          <w:szCs w:val="26"/>
        </w:rPr>
        <w:t>нностям относятся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</w:t>
      </w:r>
      <w:r>
        <w:rPr>
          <w:rFonts w:ascii="Times New Roman" w:hAnsi="Times New Roman" w:cs="Times New Roman"/>
          <w:sz w:val="26"/>
          <w:szCs w:val="26"/>
        </w:rPr>
        <w:t>щественной нравственности, обеспечение установленного порядка осуществления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единство экономического пространства</w:t>
      </w:r>
      <w:r>
        <w:rPr>
          <w:rFonts w:ascii="Times New Roman" w:hAnsi="Times New Roman" w:cs="Times New Roman"/>
          <w:sz w:val="26"/>
          <w:szCs w:val="26"/>
        </w:rPr>
        <w:t>, свободное перемещение товаров, услуг и финансовых средств, поддержка конкуренции, свобода экономической деятельности.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Конкретные ценности, защищаемые контрольно-надзорным органом,  обусловлены целями его деятельности.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определении охраняемых законом ц</w:t>
      </w:r>
      <w:r>
        <w:rPr>
          <w:rFonts w:ascii="Times New Roman" w:hAnsi="Times New Roman" w:cs="Times New Roman"/>
          <w:sz w:val="26"/>
          <w:szCs w:val="26"/>
        </w:rPr>
        <w:t>енностей следует максимально конкретизировать виды ценностей и, если это возможно, – детализировать их вплоть до определения перечня основных объектов защиты от рисков. При этом для каждого вида ценностей необходимо стремиться к количественному определению</w:t>
      </w:r>
      <w:r>
        <w:rPr>
          <w:rFonts w:ascii="Times New Roman" w:hAnsi="Times New Roman" w:cs="Times New Roman"/>
          <w:sz w:val="26"/>
          <w:szCs w:val="26"/>
        </w:rPr>
        <w:t xml:space="preserve"> единиц, с помощью которых фиксируется объем причиненного вреда, в том числе нематериального характера.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дальнейшей приоритизации рисков важно установить иерархию защищаемых ценностей, определив наиболее значимые и нуждающиеся в первостепенной защите. В</w:t>
      </w:r>
      <w:r>
        <w:rPr>
          <w:rFonts w:ascii="Times New Roman" w:hAnsi="Times New Roman" w:cs="Times New Roman"/>
          <w:sz w:val="26"/>
          <w:szCs w:val="26"/>
        </w:rPr>
        <w:t xml:space="preserve"> этом вопросе можно руководствоваться следующим.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построении более точной «пирамиды ценностей», соответствующей целям деятельности органа власти, помогут относящиеся к подконтрольной сфере стратегические документы, где обозначены первоочередные цели и зад</w:t>
      </w:r>
      <w:r>
        <w:rPr>
          <w:rFonts w:ascii="Times New Roman" w:hAnsi="Times New Roman" w:cs="Times New Roman"/>
          <w:sz w:val="26"/>
          <w:szCs w:val="26"/>
        </w:rPr>
        <w:t xml:space="preserve">ачи государственной политики. 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значительного числа защищаемых органом власти ценностей целесообразно формирование </w:t>
      </w:r>
      <w:r>
        <w:rPr>
          <w:rFonts w:ascii="Times New Roman" w:hAnsi="Times New Roman" w:cs="Times New Roman"/>
          <w:b/>
          <w:sz w:val="26"/>
          <w:szCs w:val="26"/>
        </w:rPr>
        <w:t>перечня ценностей</w:t>
      </w:r>
      <w:r>
        <w:rPr>
          <w:rFonts w:ascii="Times New Roman" w:hAnsi="Times New Roman" w:cs="Times New Roman"/>
          <w:sz w:val="26"/>
          <w:szCs w:val="26"/>
        </w:rPr>
        <w:t>, в который включаются защищаемые публично значимые блага с учетом их иерархии. Это позволяет проводить структуриров</w:t>
      </w:r>
      <w:r>
        <w:rPr>
          <w:rFonts w:ascii="Times New Roman" w:hAnsi="Times New Roman" w:cs="Times New Roman"/>
          <w:sz w:val="26"/>
          <w:szCs w:val="26"/>
        </w:rPr>
        <w:t>анную идентификацию рисков, начиная с тех рисков, которые влияют на наиболее значимые ценности, и помогает снизить вероятность упущения некоторых важных рисков.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как ценности, защищаемые органами власти, нередко лежат в разных плоскостях, мероприятия по</w:t>
      </w:r>
      <w:r>
        <w:rPr>
          <w:rFonts w:ascii="Times New Roman" w:hAnsi="Times New Roman" w:cs="Times New Roman"/>
          <w:sz w:val="26"/>
          <w:szCs w:val="26"/>
        </w:rPr>
        <w:t xml:space="preserve"> снижению риска с целью защиты одной ценности могут подвергнуть риску другую ценность. Кроме того, вне зависимости от содержания «пирамиды» защищаемых ценностей, на другой чаше весов находится свобода осуществляемой подконтрольными субъектами экономической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деятельности. Иначе говоря, данная конституционная свобода всегда является одной из ценностей, о которой также должен заботиться контрольно-надзорной орган. Поэтому крайне важно уметь прогнозировать зависимость между рисками для разных ценностей и последс</w:t>
      </w:r>
      <w:r>
        <w:rPr>
          <w:rFonts w:ascii="Times New Roman" w:hAnsi="Times New Roman" w:cs="Times New Roman"/>
          <w:sz w:val="26"/>
          <w:szCs w:val="26"/>
        </w:rPr>
        <w:t>твиями применения стратегий и мер реагирования на риски, и подбирать их так, чтобы максимально сбалансированно поддерживать качество и безопасность всех охраняемых законом ценностей.</w:t>
      </w:r>
    </w:p>
    <w:p w:rsidR="00245CB5" w:rsidRDefault="00245CB5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Заинтересованные стороны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управления рисками в публичном сект</w:t>
      </w:r>
      <w:r>
        <w:rPr>
          <w:rFonts w:ascii="Times New Roman" w:hAnsi="Times New Roman" w:cs="Times New Roman"/>
          <w:sz w:val="26"/>
          <w:szCs w:val="26"/>
        </w:rPr>
        <w:t>оре к заинтересованным сторонам относятся два типа лиц: 1) лица, вследствие деятельности которых возникает риск причинения вреда охраняемым законом ценностям (подконтрольные субъекты),  2) лица, которым может быть причинен вред вследствие деятельности подк</w:t>
      </w:r>
      <w:r>
        <w:rPr>
          <w:rFonts w:ascii="Times New Roman" w:hAnsi="Times New Roman" w:cs="Times New Roman"/>
          <w:sz w:val="26"/>
          <w:szCs w:val="26"/>
        </w:rPr>
        <w:t>онтрольных субъектов.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всех подконтрольных субъектов важно, в том числе для установления возможных источников риска и налаживания постоянного взаимодействия для оперативного получения и обмена информацией, необходимой для управления рисками.   В</w:t>
      </w:r>
      <w:r>
        <w:rPr>
          <w:rFonts w:ascii="Times New Roman" w:hAnsi="Times New Roman" w:cs="Times New Roman"/>
          <w:sz w:val="26"/>
          <w:szCs w:val="26"/>
        </w:rPr>
        <w:t xml:space="preserve"> этой связи удобным вспомогательным инструментом </w:t>
      </w:r>
      <w:r>
        <w:rPr>
          <w:rFonts w:ascii="Times New Roman" w:hAnsi="Times New Roman" w:cs="Times New Roman"/>
          <w:b/>
          <w:sz w:val="26"/>
          <w:szCs w:val="26"/>
        </w:rPr>
        <w:t>реестр объектов (субъектов) контроля (надзора)</w:t>
      </w:r>
      <w:r>
        <w:rPr>
          <w:rFonts w:ascii="Times New Roman" w:hAnsi="Times New Roman" w:cs="Times New Roman"/>
          <w:sz w:val="26"/>
          <w:szCs w:val="26"/>
        </w:rPr>
        <w:t xml:space="preserve">, поддерживаемый в актуальном состоянии. 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круга и числа всех заинтересованных сторон, относящихся ко второй группе, необходимо, в том числе для поним</w:t>
      </w:r>
      <w:r>
        <w:rPr>
          <w:rFonts w:ascii="Times New Roman" w:hAnsi="Times New Roman" w:cs="Times New Roman"/>
          <w:sz w:val="26"/>
          <w:szCs w:val="26"/>
        </w:rPr>
        <w:t xml:space="preserve">ания типов, масштабов и частоты последствий реализации рисков причинения вреда охраняемым законом ценностям. </w:t>
      </w:r>
    </w:p>
    <w:p w:rsidR="00245CB5" w:rsidRDefault="00245CB5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Владельцы риска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действительного повышения уровня безопасности охраняемых законом ценностей в рамках подконтрольной сферы нужно определить,</w:t>
      </w:r>
      <w:r>
        <w:rPr>
          <w:rFonts w:ascii="Times New Roman" w:hAnsi="Times New Roman" w:cs="Times New Roman"/>
          <w:sz w:val="26"/>
          <w:szCs w:val="26"/>
        </w:rPr>
        <w:t xml:space="preserve"> каков реальный возможный объем вклада контрольно-надзорного органа в защиту данной ценности и какие еще органы, лица участвуют или могут помочь в снижении уровня соответствующего риска, какие конкретно функции они реализуют (могут реализовать) с этой цель</w:t>
      </w:r>
      <w:r>
        <w:rPr>
          <w:rFonts w:ascii="Times New Roman" w:hAnsi="Times New Roman" w:cs="Times New Roman"/>
          <w:sz w:val="26"/>
          <w:szCs w:val="26"/>
        </w:rPr>
        <w:t xml:space="preserve">ю. 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частности, наряду с контрольно-надзорными органами к владельцам рисков следует отнести федеральные органы исполнительной власти, осуществляющие функции по выработке и реализации государственной политики и нормативно-правовому регулированию в соответс</w:t>
      </w:r>
      <w:r>
        <w:rPr>
          <w:rFonts w:ascii="Times New Roman" w:hAnsi="Times New Roman" w:cs="Times New Roman"/>
          <w:sz w:val="26"/>
          <w:szCs w:val="26"/>
        </w:rPr>
        <w:t>твующей сфере общественных отношений.</w:t>
      </w:r>
    </w:p>
    <w:p w:rsidR="00245CB5" w:rsidRDefault="00245CB5">
      <w:pPr>
        <w:pStyle w:val="afb"/>
        <w:spacing w:after="0" w:line="312" w:lineRule="auto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45CB5" w:rsidRDefault="00EF71C4">
      <w:pPr>
        <w:pStyle w:val="afb"/>
        <w:spacing w:after="0" w:line="312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5.Характеристика подконтрольной среды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анализа подконтрольной среды является получение структурированного представления об уровне опасности для охраняемых законом ценностей деятельности подконтрольных субъектов и</w:t>
      </w:r>
      <w:r>
        <w:rPr>
          <w:rFonts w:ascii="Times New Roman" w:hAnsi="Times New Roman" w:cs="Times New Roman"/>
          <w:sz w:val="26"/>
          <w:szCs w:val="26"/>
        </w:rPr>
        <w:t xml:space="preserve"> сложившемся характере реагирования контрольно-надзорных органов на их поведение, которое может повлечь реализацию риска.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этой связи анализ подконтрольной среды предполагает: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определение характера и уровня ущерба, причинённого охраняемым в рамках госу</w:t>
      </w:r>
      <w:r>
        <w:rPr>
          <w:rFonts w:ascii="Times New Roman" w:hAnsi="Times New Roman" w:cs="Times New Roman"/>
          <w:sz w:val="26"/>
          <w:szCs w:val="26"/>
        </w:rPr>
        <w:t xml:space="preserve">дарственного контроля (надзора) ценностям в ретроспективе нескольких последних лет;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определение круга основных источников возникновения событий, вследствие которых причиняется вред охраняемым законом ценностям;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сбор и ранжирование информации о харак</w:t>
      </w:r>
      <w:r>
        <w:rPr>
          <w:rFonts w:ascii="Times New Roman" w:hAnsi="Times New Roman" w:cs="Times New Roman"/>
          <w:sz w:val="26"/>
          <w:szCs w:val="26"/>
        </w:rPr>
        <w:t xml:space="preserve">теристиках подконтрольных субъектов  (объектов), влияющих на причинение вреда охраняемым законом ценностям;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дифференцирование подконтрольных субъектов (объектов) в зависимости от видов и характеристик осуществляемой ими деятельности и (или) используемых ими производственных объектов;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выявление, фиксацию и анализ наиболее часто встречающихся нарушений обяз</w:t>
      </w:r>
      <w:r>
        <w:rPr>
          <w:rFonts w:ascii="Times New Roman" w:hAnsi="Times New Roman" w:cs="Times New Roman"/>
          <w:sz w:val="26"/>
          <w:szCs w:val="26"/>
        </w:rPr>
        <w:t>ательных требований, следствием которых было причинение вреда охраняемым законом ценностям;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определение частоты и причин совершения нарушений;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свод и анализ обычно применяемых мер для предотвращения совершения нарушений, вследствие которых причиняетс</w:t>
      </w:r>
      <w:r>
        <w:rPr>
          <w:rFonts w:ascii="Times New Roman" w:hAnsi="Times New Roman" w:cs="Times New Roman"/>
          <w:sz w:val="26"/>
          <w:szCs w:val="26"/>
        </w:rPr>
        <w:t>я вред охраняемым законом ценностям, и (или) предотвращения неблагоприятных последствий таких нарушений, а также анализ эффективности таких мер.</w:t>
      </w:r>
    </w:p>
    <w:p w:rsidR="00245CB5" w:rsidRDefault="00245CB5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pStyle w:val="3"/>
        <w:ind w:firstLine="851"/>
        <w:rPr>
          <w:rFonts w:ascii="Times New Roman" w:hAnsi="Times New Roman" w:cs="Times New Roman"/>
          <w:color w:val="auto"/>
          <w:sz w:val="26"/>
          <w:szCs w:val="26"/>
        </w:rPr>
      </w:pPr>
      <w:bookmarkStart w:id="11" w:name="_Toc792372"/>
      <w:r>
        <w:rPr>
          <w:rFonts w:ascii="Times New Roman" w:hAnsi="Times New Roman" w:cs="Times New Roman"/>
          <w:color w:val="auto"/>
          <w:sz w:val="26"/>
          <w:szCs w:val="26"/>
        </w:rPr>
        <w:t>1.3.3. Идентификация рисков</w:t>
      </w:r>
      <w:bookmarkEnd w:id="11"/>
    </w:p>
    <w:p w:rsidR="00245CB5" w:rsidRDefault="00245CB5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идентификации рисков является формирование полной и актуальной картины риск</w:t>
      </w:r>
      <w:r>
        <w:rPr>
          <w:rFonts w:ascii="Times New Roman" w:hAnsi="Times New Roman" w:cs="Times New Roman"/>
          <w:sz w:val="26"/>
          <w:szCs w:val="26"/>
        </w:rPr>
        <w:t xml:space="preserve">ов, которым подвержены публично значимые блага, защищаемые контрольно-надзорным органом. В рамках каждого вида государственного контроля (надзора) нужно определить </w:t>
      </w:r>
      <w:r>
        <w:rPr>
          <w:rFonts w:ascii="Times New Roman" w:hAnsi="Times New Roman" w:cs="Times New Roman"/>
          <w:b/>
          <w:sz w:val="26"/>
          <w:szCs w:val="26"/>
        </w:rPr>
        <w:t>события, источники их возникновения и возможные вредные последствия рисков подконтрольной сф</w:t>
      </w:r>
      <w:r>
        <w:rPr>
          <w:rFonts w:ascii="Times New Roman" w:hAnsi="Times New Roman" w:cs="Times New Roman"/>
          <w:b/>
          <w:sz w:val="26"/>
          <w:szCs w:val="26"/>
        </w:rPr>
        <w:t>еры</w:t>
      </w:r>
      <w:r>
        <w:rPr>
          <w:rFonts w:ascii="Times New Roman" w:hAnsi="Times New Roman" w:cs="Times New Roman"/>
          <w:sz w:val="26"/>
          <w:szCs w:val="26"/>
        </w:rPr>
        <w:t xml:space="preserve">. В целях учета выявленные риски могут включаться в  </w:t>
      </w:r>
      <w:r>
        <w:rPr>
          <w:rFonts w:ascii="Times New Roman" w:hAnsi="Times New Roman" w:cs="Times New Roman"/>
          <w:b/>
          <w:sz w:val="26"/>
          <w:szCs w:val="26"/>
        </w:rPr>
        <w:t>реестр (перечень) рисков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Обычно рисками в публичном секторе являются следующие: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риски, которые появляются в ходе деятельности одного субъекта, последствия которых могут отразиться на: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>
        <w:rPr>
          <w:rFonts w:ascii="Times New Roman" w:hAnsi="Times New Roman" w:cs="Times New Roman"/>
          <w:sz w:val="26"/>
          <w:szCs w:val="26"/>
        </w:rPr>
        <w:t>потребителях, сообществах или обществе в целом (риски «от предприятия к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потребителям»);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других предприятиях (риски «от предприятия к предприятию»);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окружающей среде (риски «от предприятия к окружающей среде»);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государстве в целом (риски «от предприят</w:t>
      </w:r>
      <w:r>
        <w:rPr>
          <w:rFonts w:ascii="Times New Roman" w:hAnsi="Times New Roman" w:cs="Times New Roman"/>
          <w:sz w:val="26"/>
          <w:szCs w:val="26"/>
        </w:rPr>
        <w:t xml:space="preserve">ия к государству»); 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риски, которые появляются с деятельностью одного субъекта или в бизнес среде,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смягчение которых требует координации действий субъектов, так как один субъект экономической деятельности не в силах управлять риском самостоятельно;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р</w:t>
      </w:r>
      <w:r>
        <w:rPr>
          <w:rFonts w:ascii="Times New Roman" w:hAnsi="Times New Roman" w:cs="Times New Roman"/>
          <w:sz w:val="26"/>
          <w:szCs w:val="26"/>
        </w:rPr>
        <w:t>иски, которые появляются в бизнес среде и оказывают воздействие на субъект экономической деятельности, при этом субъект не сможет контролировать такой риск (например, экологические риски);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риски, источником которых являются неконтролируемые причины (нап</w:t>
      </w:r>
      <w:r>
        <w:rPr>
          <w:rFonts w:ascii="Times New Roman" w:hAnsi="Times New Roman" w:cs="Times New Roman"/>
          <w:sz w:val="26"/>
          <w:szCs w:val="26"/>
        </w:rPr>
        <w:t>ример, природные условия, действия иных государств), и последствия которых могут отразиться на: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неограниченном числе граждан, организациях, обществе в целом;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окружающей среде;</w:t>
      </w:r>
    </w:p>
    <w:p w:rsidR="00245CB5" w:rsidRDefault="00EF71C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государстве в целом.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Данная классификация рисков является условной, однако</w:t>
      </w:r>
      <w:r>
        <w:rPr>
          <w:rFonts w:ascii="Times New Roman" w:hAnsi="Times New Roman" w:cs="Times New Roman"/>
          <w:sz w:val="26"/>
          <w:szCs w:val="26"/>
        </w:rPr>
        <w:t xml:space="preserve"> может помочь ведомству очертить круг возможных типов рисков.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Риски должны быть идентифицированы для каждого вида защищаемых контрольно-надзорным органом ценностей и во всей подконтрольной сфере. Процесс идентификации целесообразно начинать с выявления рис</w:t>
      </w:r>
      <w:r>
        <w:rPr>
          <w:rFonts w:ascii="Times New Roman" w:hAnsi="Times New Roman" w:cs="Times New Roman"/>
          <w:sz w:val="26"/>
          <w:szCs w:val="26"/>
        </w:rPr>
        <w:t>ков для наиболее значимых охраняемых законом ценностей. Это позволит упростить (систематизировать) процесс ранжирования рисков по значимости.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Предварительно следует обобщить и провести анализ событий подконтрольной сферы, повлекших причинение вреда охраняемым законом ценностям. Результаты такого анализа выступают важным источником для идентификации рисков, включая выявление произошедших событий,</w:t>
      </w:r>
      <w:r>
        <w:rPr>
          <w:rFonts w:ascii="Times New Roman" w:hAnsi="Times New Roman" w:cs="Times New Roman"/>
          <w:sz w:val="26"/>
          <w:szCs w:val="26"/>
        </w:rPr>
        <w:t xml:space="preserve"> источников риска и их последствий.  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на данном этапе важно не упускать из внимания состав и характеристики заинтересованных сторон, в частности, речь идет о типах подконтрольных субъектов и видах осуществляемой ими  деятельности, видах используемых </w:t>
      </w:r>
      <w:r>
        <w:rPr>
          <w:rFonts w:ascii="Times New Roman" w:hAnsi="Times New Roman" w:cs="Times New Roman"/>
          <w:sz w:val="26"/>
          <w:szCs w:val="26"/>
        </w:rPr>
        <w:t>ими производственных объектов, информации о наиболее часто встречающихся нарушениях, вследствие которых был причинен вред охраняемым законом ценностям, и т.д.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Например, Комиссия по безопасности потребительской продукции США (CPSC) разработала Национальную </w:t>
      </w:r>
      <w:r>
        <w:rPr>
          <w:rFonts w:ascii="Times New Roman" w:hAnsi="Times New Roman" w:cs="Times New Roman"/>
          <w:sz w:val="26"/>
          <w:szCs w:val="26"/>
        </w:rPr>
        <w:t>электронную систему контроля травматизма (NEISS) – базу данных, содержащую информацию о каждом посещении пункта неотложной помощи больными с травмами, вызванными использованием потребительских продуктов, лечившимися в одной из больниц США, включенных в эту</w:t>
      </w:r>
      <w:r>
        <w:rPr>
          <w:rFonts w:ascii="Times New Roman" w:hAnsi="Times New Roman" w:cs="Times New Roman"/>
          <w:sz w:val="26"/>
          <w:szCs w:val="26"/>
        </w:rPr>
        <w:t xml:space="preserve"> систему. Эта база данных, доступная в режиме онлайн, обеспечивает органы данными о потенциально опасных продуктах. CPSC также разработала сетевую базу данных (www.saferproducts.gov), являющуюся защищенной платформой с функцией поиска, где потребители и ко</w:t>
      </w:r>
      <w:r>
        <w:rPr>
          <w:rFonts w:ascii="Times New Roman" w:hAnsi="Times New Roman" w:cs="Times New Roman"/>
          <w:sz w:val="26"/>
          <w:szCs w:val="26"/>
        </w:rPr>
        <w:t xml:space="preserve">мпании могут оставлять записи о каких-либо небезопасных продуктах, информацией о которых они располагают. Веб-сайт защищает личную информацию пользователей и предоставляет возможность компаниям, чьи продукты оказались небезопасными, просмотреть информацию </w:t>
      </w:r>
      <w:r>
        <w:rPr>
          <w:rFonts w:ascii="Times New Roman" w:hAnsi="Times New Roman" w:cs="Times New Roman"/>
          <w:sz w:val="26"/>
          <w:szCs w:val="26"/>
        </w:rPr>
        <w:t>до того, как она будет опубликована.</w:t>
      </w:r>
      <w:r>
        <w:rPr>
          <w:rStyle w:val="a9"/>
          <w:rFonts w:ascii="Times New Roman" w:hAnsi="Times New Roman" w:cs="Times New Roman"/>
          <w:sz w:val="26"/>
          <w:szCs w:val="26"/>
        </w:rPr>
        <w:footnoteReference w:id="5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идентификации рисков могут использоваться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различные методы, в том числе мозговой штурм, интервью, метод Дельфи, контрольные листы, предварительный анализ опасности, исследование опасности и работоспособности, анал</w:t>
      </w:r>
      <w:r>
        <w:rPr>
          <w:rFonts w:ascii="Times New Roman" w:hAnsi="Times New Roman" w:cs="Times New Roman"/>
          <w:sz w:val="26"/>
          <w:szCs w:val="26"/>
        </w:rPr>
        <w:t>из опасности и критических контрольных точек, а также иные методы</w:t>
      </w:r>
      <w:r>
        <w:rPr>
          <w:rStyle w:val="a9"/>
          <w:rFonts w:ascii="Times New Roman" w:hAnsi="Times New Roman" w:cs="Times New Roman"/>
          <w:sz w:val="26"/>
          <w:szCs w:val="26"/>
        </w:rPr>
        <w:footnoteReference w:id="6"/>
      </w:r>
      <w:r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Большинство методов идентификации рисков имеют интерактивный характер и основаны на взаимодействии органа власти с экспертным сообществом, заинтересованными сторонами, подконтрольными с</w:t>
      </w:r>
      <w:r>
        <w:rPr>
          <w:rFonts w:ascii="Times New Roman" w:hAnsi="Times New Roman" w:cs="Times New Roman"/>
          <w:sz w:val="26"/>
          <w:szCs w:val="26"/>
        </w:rPr>
        <w:t>убъектами, иными контрольно-надзорными органами с целью построения наиболее полной картины событий, следствием которых может стать причинение вреда охраняемым законом ценностям, и их возможных причин. Поэтому во многом точность выявления рисков подконтроль</w:t>
      </w:r>
      <w:r>
        <w:rPr>
          <w:rFonts w:ascii="Times New Roman" w:hAnsi="Times New Roman" w:cs="Times New Roman"/>
          <w:sz w:val="26"/>
          <w:szCs w:val="26"/>
        </w:rPr>
        <w:t xml:space="preserve">ной сферы зависит от правильного определения источников информации о возможных рисках и привлечения их к процессу идентификации. </w:t>
      </w:r>
    </w:p>
    <w:p w:rsidR="00245CB5" w:rsidRDefault="00EF71C4">
      <w:pPr>
        <w:spacing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Например, Европейский орган по безопасности продовольствия, занимающийся идентификацией рисков в системе безопасности пищевых </w:t>
      </w:r>
      <w:r>
        <w:rPr>
          <w:rFonts w:ascii="Times New Roman" w:hAnsi="Times New Roman" w:cs="Times New Roman"/>
          <w:sz w:val="26"/>
          <w:szCs w:val="26"/>
        </w:rPr>
        <w:t>продуктов, должен «использовать всю информацию, которую он получает в процессе реализации своей миссии, для идентификации новых рисков» (Европейские сообщества, 2002). В соответствии с законодательством эта информация может быть получена, в том числе из сл</w:t>
      </w:r>
      <w:r>
        <w:rPr>
          <w:rFonts w:ascii="Times New Roman" w:hAnsi="Times New Roman" w:cs="Times New Roman"/>
          <w:sz w:val="26"/>
          <w:szCs w:val="26"/>
        </w:rPr>
        <w:t>едующих источников идентификации риска:</w:t>
      </w:r>
    </w:p>
    <w:p w:rsidR="00245CB5" w:rsidRDefault="00EF71C4">
      <w:pPr>
        <w:spacing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потребители, ученые, другие заинтересованные стороны («орган должен наладить эффективное общение с представителями потребителей, производителей, технологами и прочими заинтересованными сторонами»);</w:t>
      </w:r>
    </w:p>
    <w:p w:rsidR="00245CB5" w:rsidRDefault="00EF71C4">
      <w:pPr>
        <w:spacing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предпринимател</w:t>
      </w:r>
      <w:r>
        <w:rPr>
          <w:rFonts w:ascii="Times New Roman" w:hAnsi="Times New Roman" w:cs="Times New Roman"/>
          <w:sz w:val="26"/>
          <w:szCs w:val="26"/>
        </w:rPr>
        <w:t>и («предприниматель в секторе продуктов питания должен немедленно проинформировать компетентные органы, если он считает или имеет основания полагать, что продукт, который он разместил на рынке, может нанести вред здоровью человека. Предприниматели должны и</w:t>
      </w:r>
      <w:r>
        <w:rPr>
          <w:rFonts w:ascii="Times New Roman" w:hAnsi="Times New Roman" w:cs="Times New Roman"/>
          <w:sz w:val="26"/>
          <w:szCs w:val="26"/>
        </w:rPr>
        <w:t xml:space="preserve">нформировать компетентные органы о принятых мерах по ликвидации риска для конечного потребителя»); </w:t>
      </w:r>
    </w:p>
    <w:p w:rsidR="00245CB5" w:rsidRDefault="00EF71C4">
      <w:pPr>
        <w:spacing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система быстрого оповещения («последние продовольственные кризисы доказали необходимость создания усовершенствованной и расширенной системы быстрого опове</w:t>
      </w:r>
      <w:r>
        <w:rPr>
          <w:rFonts w:ascii="Times New Roman" w:hAnsi="Times New Roman" w:cs="Times New Roman"/>
          <w:sz w:val="26"/>
          <w:szCs w:val="26"/>
        </w:rPr>
        <w:t>щения в сфере производства продуктов питания и животных кормов»), которая служит основным источником идентификации риска, так как «если у участника сети есть какая-либо информация о существовании серьезного прямого или косвенного риска для здоровья человек</w:t>
      </w:r>
      <w:r>
        <w:rPr>
          <w:rFonts w:ascii="Times New Roman" w:hAnsi="Times New Roman" w:cs="Times New Roman"/>
          <w:sz w:val="26"/>
          <w:szCs w:val="26"/>
        </w:rPr>
        <w:t>а, исходящего от пищевых продуктов или кормов, эта информация должна быть немедленно передана Комиссии с помощью системы быстрого оповещения»;</w:t>
      </w:r>
    </w:p>
    <w:p w:rsidR="00245CB5" w:rsidRDefault="00EF71C4">
      <w:pPr>
        <w:spacing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консультативный форум под управлением Органа открыт для участия представителей компетентных органов государств-</w:t>
      </w:r>
      <w:r>
        <w:rPr>
          <w:rFonts w:ascii="Times New Roman" w:hAnsi="Times New Roman" w:cs="Times New Roman"/>
          <w:sz w:val="26"/>
          <w:szCs w:val="26"/>
        </w:rPr>
        <w:t>членов;</w:t>
      </w:r>
    </w:p>
    <w:p w:rsidR="00245CB5" w:rsidRDefault="00EF71C4">
      <w:pPr>
        <w:spacing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компетентные организации, определяемые государствами-членами и которые могут помочь Органу в идентификации появляющихся рисков.</w:t>
      </w:r>
      <w:r>
        <w:rPr>
          <w:rStyle w:val="a9"/>
          <w:rFonts w:ascii="Times New Roman" w:hAnsi="Times New Roman" w:cs="Times New Roman"/>
          <w:sz w:val="26"/>
          <w:szCs w:val="26"/>
        </w:rPr>
        <w:footnoteReference w:id="7"/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Чтобы избежать ошибок и получить наиболее полную информацию обо всех существующих рисках, желательно использовать не </w:t>
      </w:r>
      <w:r>
        <w:rPr>
          <w:rFonts w:ascii="Times New Roman" w:hAnsi="Times New Roman" w:cs="Times New Roman"/>
          <w:sz w:val="26"/>
          <w:szCs w:val="26"/>
        </w:rPr>
        <w:t xml:space="preserve">один, а одновременно несколько методов. 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Стоит отметить, что обычно идентификация рисков осуществляется исходя из известных (очевидно прогнозируемых) событий, источников, причин риска и их возможных последствий. Однако в жизни случаются непредвиденные (пра</w:t>
      </w:r>
      <w:r>
        <w:rPr>
          <w:rFonts w:ascii="Times New Roman" w:hAnsi="Times New Roman" w:cs="Times New Roman"/>
          <w:sz w:val="26"/>
          <w:szCs w:val="26"/>
        </w:rPr>
        <w:t>вда, часто – только на первый взгляд) события, влекущие значительный вред охраняемым законом ценностям (к примеру, ипотечный кризис в США в 2008 г., авария на Саяно-Шушенской ГЭС в 2009 г., авария на шахте «Ульяновская» в 2007 г., и т.п.) и в дальнейшем за</w:t>
      </w:r>
      <w:r>
        <w:rPr>
          <w:rFonts w:ascii="Times New Roman" w:hAnsi="Times New Roman" w:cs="Times New Roman"/>
          <w:sz w:val="26"/>
          <w:szCs w:val="26"/>
        </w:rPr>
        <w:t xml:space="preserve">ставляющие органы власти принимать все возможные меры по предотвращению </w:t>
      </w:r>
      <w:r>
        <w:rPr>
          <w:rFonts w:ascii="Times New Roman" w:hAnsi="Times New Roman" w:cs="Times New Roman"/>
          <w:b/>
          <w:sz w:val="26"/>
          <w:szCs w:val="26"/>
        </w:rPr>
        <w:t>подобных</w:t>
      </w:r>
      <w:r>
        <w:rPr>
          <w:rFonts w:ascii="Times New Roman" w:hAnsi="Times New Roman" w:cs="Times New Roman"/>
          <w:sz w:val="26"/>
          <w:szCs w:val="26"/>
        </w:rPr>
        <w:t xml:space="preserve"> событий. 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Эти события в литературе по риск-менеджменту получили наименование «черный лебедь»</w:t>
      </w:r>
      <w:r>
        <w:rPr>
          <w:rStyle w:val="a9"/>
          <w:rFonts w:ascii="Times New Roman" w:hAnsi="Times New Roman" w:cs="Times New Roman"/>
          <w:sz w:val="26"/>
          <w:szCs w:val="26"/>
        </w:rPr>
        <w:footnoteReference w:id="8"/>
      </w:r>
      <w:r>
        <w:rPr>
          <w:rFonts w:ascii="Times New Roman" w:hAnsi="Times New Roman" w:cs="Times New Roman"/>
          <w:sz w:val="26"/>
          <w:szCs w:val="26"/>
        </w:rPr>
        <w:t>. Мировой опыт реагирования на «черного лебедя» показывает, что в ретроспективе та</w:t>
      </w:r>
      <w:r>
        <w:rPr>
          <w:rFonts w:ascii="Times New Roman" w:hAnsi="Times New Roman" w:cs="Times New Roman"/>
          <w:sz w:val="26"/>
          <w:szCs w:val="26"/>
        </w:rPr>
        <w:t xml:space="preserve">кое событие имеет рационалистическое объяснение, как если бы оно было ожидаемым.           То есть, часто подобные события могут быть объективно предсказаны и, значит, предупреждены. </w:t>
      </w:r>
    </w:p>
    <w:p w:rsidR="00245CB5" w:rsidRDefault="00EF71C4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органов власти это означает, что в процессе идентификации рисков сле</w:t>
      </w:r>
      <w:r>
        <w:rPr>
          <w:rFonts w:ascii="Times New Roman" w:hAnsi="Times New Roman" w:cs="Times New Roman"/>
          <w:sz w:val="26"/>
          <w:szCs w:val="26"/>
        </w:rPr>
        <w:t xml:space="preserve">дует максимально расширять границы анализируемого спектра возможных событий, в результате которых может быть причинен вред охраняемым законом. Для этого нужно избавляться от типичных заблуждений, приводящих к излишней уверенности в собственной способности </w:t>
      </w:r>
      <w:r>
        <w:rPr>
          <w:rFonts w:ascii="Times New Roman" w:hAnsi="Times New Roman" w:cs="Times New Roman"/>
          <w:sz w:val="26"/>
          <w:szCs w:val="26"/>
        </w:rPr>
        <w:t xml:space="preserve">анализировать будущее. </w:t>
      </w:r>
    </w:p>
    <w:p w:rsidR="00245CB5" w:rsidRDefault="00245CB5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45CB5" w:rsidRDefault="00EF71C4">
      <w:pPr>
        <w:pStyle w:val="3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bookmarkStart w:id="12" w:name="_Toc792373"/>
      <w:r>
        <w:rPr>
          <w:rFonts w:ascii="Times New Roman" w:hAnsi="Times New Roman" w:cs="Times New Roman"/>
          <w:color w:val="auto"/>
          <w:sz w:val="26"/>
          <w:szCs w:val="26"/>
        </w:rPr>
        <w:t>1.3.4. Анализ и оценивание (ранжирование) рисков</w:t>
      </w:r>
      <w:bookmarkEnd w:id="12"/>
    </w:p>
    <w:p w:rsidR="00245CB5" w:rsidRDefault="00245CB5"/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анализа и оценивания (ранжирования) рисков является приоритизация выявленных рисков – чтобы орган власти в первую очередь мог реагировать на самые важные, вероятные и могущие повлечь наибольшие негативные последствия, и тем самым, предотвращать событ</w:t>
      </w:r>
      <w:r>
        <w:rPr>
          <w:rFonts w:ascii="Times New Roman" w:hAnsi="Times New Roman" w:cs="Times New Roman"/>
          <w:sz w:val="26"/>
          <w:szCs w:val="26"/>
        </w:rPr>
        <w:t>ия, вследствие которых может быть причинен наибольший вред охраняемым законом ценностям, а если такое событие произошло, - то предупреждать его возможные последствия. Приоритизация осуществляется путем сравнения рисков между собой по степени их влияния на</w:t>
      </w:r>
      <w:r>
        <w:rPr>
          <w:rFonts w:ascii="Times New Roman" w:hAnsi="Times New Roman" w:cs="Times New Roman"/>
          <w:sz w:val="26"/>
          <w:szCs w:val="26"/>
        </w:rPr>
        <w:t xml:space="preserve"> достижение целей деятельности контрольно-надзорного органа. Формализованным результатом деятельности по идентификации, анализу и оцениванию рисков является определение и установление </w:t>
      </w:r>
      <w:r>
        <w:rPr>
          <w:rFonts w:ascii="Times New Roman" w:hAnsi="Times New Roman" w:cs="Times New Roman"/>
          <w:b/>
          <w:sz w:val="26"/>
          <w:szCs w:val="26"/>
        </w:rPr>
        <w:t>критериев риска, которые будут применяться контрольно-надзорными органам</w:t>
      </w:r>
      <w:r>
        <w:rPr>
          <w:rFonts w:ascii="Times New Roman" w:hAnsi="Times New Roman" w:cs="Times New Roman"/>
          <w:b/>
          <w:sz w:val="26"/>
          <w:szCs w:val="26"/>
        </w:rPr>
        <w:t>и для дифференцирования интенсивности мероприятий по контролю и профилактике в зависимости от уровня риска подконтрольных субъектов (объектов)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 по себе </w:t>
      </w:r>
      <w:r>
        <w:rPr>
          <w:rFonts w:ascii="Times New Roman" w:hAnsi="Times New Roman" w:cs="Times New Roman"/>
          <w:b/>
          <w:sz w:val="26"/>
          <w:szCs w:val="26"/>
        </w:rPr>
        <w:t>анализ риска</w:t>
      </w:r>
      <w:r>
        <w:rPr>
          <w:rFonts w:ascii="Times New Roman" w:hAnsi="Times New Roman" w:cs="Times New Roman"/>
          <w:sz w:val="26"/>
          <w:szCs w:val="26"/>
        </w:rPr>
        <w:t xml:space="preserve"> подразумевает углубление понимания риска путем определения вероятности наступления сопр</w:t>
      </w:r>
      <w:r>
        <w:rPr>
          <w:rFonts w:ascii="Times New Roman" w:hAnsi="Times New Roman" w:cs="Times New Roman"/>
          <w:sz w:val="26"/>
          <w:szCs w:val="26"/>
        </w:rPr>
        <w:t xml:space="preserve">яженного с риском события, причин риска, вероятности и масштабов потенциальных вредных последствий. Тем самым можно определить </w:t>
      </w:r>
      <w:r>
        <w:rPr>
          <w:rFonts w:ascii="Times New Roman" w:hAnsi="Times New Roman" w:cs="Times New Roman"/>
          <w:b/>
          <w:sz w:val="26"/>
          <w:szCs w:val="26"/>
        </w:rPr>
        <w:t>уровень риска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Уровень риска тем выше, чем (1) больше вероятность наступления события, следствием которого может стать причинени</w:t>
      </w:r>
      <w:r>
        <w:rPr>
          <w:rFonts w:ascii="Times New Roman" w:hAnsi="Times New Roman" w:cs="Times New Roman"/>
          <w:sz w:val="26"/>
          <w:szCs w:val="26"/>
        </w:rPr>
        <w:t>е вреда охраняемым законом ценностям, (2) больше масштабы возможного вреда.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 из наиболее распространенных методов анализа рисков – построение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матрицы риска</w:t>
      </w:r>
      <w:r>
        <w:rPr>
          <w:rFonts w:ascii="Times New Roman" w:hAnsi="Times New Roman" w:cs="Times New Roman"/>
          <w:sz w:val="26"/>
          <w:szCs w:val="26"/>
        </w:rPr>
        <w:t>.  Данный метод универсален – не зависит от возможности точного количественного расчета риска – о</w:t>
      </w:r>
      <w:r>
        <w:rPr>
          <w:rFonts w:ascii="Times New Roman" w:hAnsi="Times New Roman" w:cs="Times New Roman"/>
          <w:sz w:val="26"/>
          <w:szCs w:val="26"/>
        </w:rPr>
        <w:t xml:space="preserve">снован на математическом понимании риска как </w:t>
      </w:r>
      <w:r>
        <w:rPr>
          <w:rFonts w:ascii="Times New Roman" w:hAnsi="Times New Roman" w:cs="Times New Roman"/>
          <w:b/>
          <w:sz w:val="26"/>
          <w:szCs w:val="26"/>
        </w:rPr>
        <w:t>произведения вероятности наступления негативных событий на объем потенциального вреда</w:t>
      </w:r>
      <w:r>
        <w:rPr>
          <w:rFonts w:ascii="Times New Roman" w:hAnsi="Times New Roman" w:cs="Times New Roman"/>
          <w:sz w:val="26"/>
          <w:szCs w:val="26"/>
        </w:rPr>
        <w:t xml:space="preserve"> и формализуется в построении матрицы с взаимозависимыми показателями: 1) величина вреда вследствие реализации сопряженного с </w:t>
      </w:r>
      <w:r>
        <w:rPr>
          <w:rFonts w:ascii="Times New Roman" w:hAnsi="Times New Roman" w:cs="Times New Roman"/>
          <w:sz w:val="26"/>
          <w:szCs w:val="26"/>
        </w:rPr>
        <w:t xml:space="preserve">риском события и 2) возможная частота возникновения вреда.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применения рассматриваемого метода необходимо выявить все основные причины возникновения событий, вследствие которых может быть причинен вред охраняемым законом ценностям.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Далее нужно все установленные причины разделить на две категории: </w:t>
      </w:r>
      <w:r>
        <w:rPr>
          <w:rFonts w:ascii="Times New Roman" w:hAnsi="Times New Roman" w:cs="Times New Roman"/>
          <w:b/>
          <w:sz w:val="26"/>
          <w:szCs w:val="26"/>
        </w:rPr>
        <w:t>управляемые и неуправляемые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 </w:t>
      </w:r>
      <w:r>
        <w:rPr>
          <w:rFonts w:ascii="Times New Roman" w:hAnsi="Times New Roman" w:cs="Times New Roman"/>
          <w:b/>
          <w:sz w:val="26"/>
          <w:szCs w:val="26"/>
        </w:rPr>
        <w:t>неуправляемыми причинами риска</w:t>
      </w:r>
      <w:r>
        <w:rPr>
          <w:rFonts w:ascii="Times New Roman" w:hAnsi="Times New Roman" w:cs="Times New Roman"/>
          <w:sz w:val="26"/>
          <w:szCs w:val="26"/>
        </w:rPr>
        <w:t xml:space="preserve"> понимаются причины, наличие или устранение которых напрямую не зависит от контрольно-надзорной деятельности. Ряд из этих прич</w:t>
      </w:r>
      <w:r>
        <w:rPr>
          <w:rFonts w:ascii="Times New Roman" w:hAnsi="Times New Roman" w:cs="Times New Roman"/>
          <w:sz w:val="26"/>
          <w:szCs w:val="26"/>
        </w:rPr>
        <w:t xml:space="preserve">ин поддаются управлению в более широком контексте государственного регулирования, в том числе путем изменения обязательных требований.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если для ситуаций дорожной аварии оказывается, что причиной риска является отсутствие ремней безопасности или разго</w:t>
      </w:r>
      <w:r>
        <w:rPr>
          <w:rFonts w:ascii="Times New Roman" w:hAnsi="Times New Roman" w:cs="Times New Roman"/>
          <w:sz w:val="26"/>
          <w:szCs w:val="26"/>
        </w:rPr>
        <w:t>вор по телефону за рулем, можно ввести изменения в обязательные требования и запретить эксплуатацию транспортных средств без ремней безопасности или разговоры за рулем. После этого данные причины переходят в категорию управляемых и могут быть проверены в р</w:t>
      </w:r>
      <w:r>
        <w:rPr>
          <w:rFonts w:ascii="Times New Roman" w:hAnsi="Times New Roman" w:cs="Times New Roman"/>
          <w:sz w:val="26"/>
          <w:szCs w:val="26"/>
        </w:rPr>
        <w:t>амках контрольно-надзорной деятельности. Если же причиной риска является состояние дорожного покрытия, то это уже предмет межведомственного взаимодействия.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Управляемые причины риска</w:t>
      </w:r>
      <w:r>
        <w:rPr>
          <w:rFonts w:ascii="Times New Roman" w:hAnsi="Times New Roman" w:cs="Times New Roman"/>
          <w:sz w:val="26"/>
          <w:szCs w:val="26"/>
        </w:rPr>
        <w:t xml:space="preserve"> – это причины, на которые можно эффективно повлиять путем осуществления ко</w:t>
      </w:r>
      <w:r>
        <w:rPr>
          <w:rFonts w:ascii="Times New Roman" w:hAnsi="Times New Roman" w:cs="Times New Roman"/>
          <w:sz w:val="26"/>
          <w:szCs w:val="26"/>
        </w:rPr>
        <w:t xml:space="preserve">нтрольно-надзорной деятельности. Именно они являются основой для дальнейшего анализа риска.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Далее из основных управляемых причин риска нужно отобрать такие, которые указывают на максимальную величину риска.  Для этого требуется для каждой причины риска по</w:t>
      </w:r>
      <w:r>
        <w:rPr>
          <w:rFonts w:ascii="Times New Roman" w:hAnsi="Times New Roman" w:cs="Times New Roman"/>
          <w:sz w:val="26"/>
          <w:szCs w:val="26"/>
        </w:rPr>
        <w:t>следовательно умножить значения величины вреда и возможной частоты его возникновения. Затем с учетом полученных значений все известные основные причины риска распределяются по матрице риска, где по вертикали – возможная величина вреда, а по горизонтали – в</w:t>
      </w:r>
      <w:r>
        <w:rPr>
          <w:rFonts w:ascii="Times New Roman" w:hAnsi="Times New Roman" w:cs="Times New Roman"/>
          <w:sz w:val="26"/>
          <w:szCs w:val="26"/>
        </w:rPr>
        <w:t xml:space="preserve">озможная частота возникновения вреда. </w:t>
      </w:r>
    </w:p>
    <w:p w:rsidR="00245CB5" w:rsidRDefault="00245CB5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Матрица риска</w:t>
      </w:r>
    </w:p>
    <w:p w:rsidR="00245CB5" w:rsidRDefault="00245CB5">
      <w:pPr>
        <w:spacing w:after="0" w:line="312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f"/>
        <w:tblW w:w="10423" w:type="dxa"/>
        <w:tblLook w:val="04A0" w:firstRow="1" w:lastRow="0" w:firstColumn="1" w:lastColumn="0" w:noHBand="0" w:noVBand="1"/>
      </w:tblPr>
      <w:tblGrid>
        <w:gridCol w:w="1280"/>
        <w:gridCol w:w="1375"/>
        <w:gridCol w:w="1247"/>
        <w:gridCol w:w="1283"/>
        <w:gridCol w:w="1257"/>
        <w:gridCol w:w="1375"/>
        <w:gridCol w:w="1260"/>
        <w:gridCol w:w="1346"/>
      </w:tblGrid>
      <w:tr w:rsidR="00245CB5">
        <w:tc>
          <w:tcPr>
            <w:tcW w:w="2655" w:type="dxa"/>
            <w:gridSpan w:val="2"/>
            <w:vMerge w:val="restart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6" w:type="dxa"/>
            <w:gridSpan w:val="6"/>
            <w:shd w:val="clear" w:color="auto" w:fill="auto"/>
          </w:tcPr>
          <w:p w:rsidR="00245CB5" w:rsidRDefault="00EF71C4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Возможная частота возникновения вреда</w:t>
            </w:r>
          </w:p>
          <w:p w:rsidR="00245CB5" w:rsidRDefault="00245CB5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CB5">
        <w:tc>
          <w:tcPr>
            <w:tcW w:w="2655" w:type="dxa"/>
            <w:gridSpan w:val="2"/>
            <w:vMerge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</w:tcPr>
          <w:p w:rsidR="00245CB5" w:rsidRDefault="00EF71C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83" w:type="dxa"/>
            <w:shd w:val="clear" w:color="auto" w:fill="auto"/>
          </w:tcPr>
          <w:p w:rsidR="00245CB5" w:rsidRDefault="00EF71C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Умеренная</w:t>
            </w: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245CB5" w:rsidRDefault="00EF71C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</w:tc>
        <w:tc>
          <w:tcPr>
            <w:tcW w:w="1375" w:type="dxa"/>
            <w:shd w:val="clear" w:color="auto" w:fill="auto"/>
          </w:tcPr>
          <w:p w:rsidR="00245CB5" w:rsidRDefault="00EF71C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Значительная </w:t>
            </w:r>
          </w:p>
        </w:tc>
        <w:tc>
          <w:tcPr>
            <w:tcW w:w="1260" w:type="dxa"/>
            <w:shd w:val="clear" w:color="auto" w:fill="auto"/>
          </w:tcPr>
          <w:p w:rsidR="00245CB5" w:rsidRDefault="00EF71C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Высокая </w:t>
            </w:r>
          </w:p>
        </w:tc>
        <w:tc>
          <w:tcPr>
            <w:tcW w:w="1344" w:type="dxa"/>
            <w:shd w:val="clear" w:color="auto" w:fill="auto"/>
          </w:tcPr>
          <w:p w:rsidR="00245CB5" w:rsidRDefault="00EF71C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Чрезвычайно  высокая</w:t>
            </w:r>
          </w:p>
        </w:tc>
      </w:tr>
      <w:tr w:rsidR="00245CB5">
        <w:tc>
          <w:tcPr>
            <w:tcW w:w="1280" w:type="dxa"/>
            <w:vMerge w:val="restart"/>
            <w:shd w:val="clear" w:color="auto" w:fill="auto"/>
          </w:tcPr>
          <w:p w:rsidR="00245CB5" w:rsidRDefault="00EF71C4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вреда</w:t>
            </w:r>
          </w:p>
        </w:tc>
        <w:tc>
          <w:tcPr>
            <w:tcW w:w="1375" w:type="dxa"/>
            <w:shd w:val="clear" w:color="auto" w:fill="auto"/>
          </w:tcPr>
          <w:p w:rsidR="00245CB5" w:rsidRDefault="00EF71C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Чрезвычайно высокая</w:t>
            </w:r>
          </w:p>
        </w:tc>
        <w:tc>
          <w:tcPr>
            <w:tcW w:w="1247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CB5">
        <w:tc>
          <w:tcPr>
            <w:tcW w:w="1280" w:type="dxa"/>
            <w:vMerge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shd w:val="clear" w:color="auto" w:fill="auto"/>
          </w:tcPr>
          <w:p w:rsidR="00245CB5" w:rsidRDefault="00EF71C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CB5">
        <w:tc>
          <w:tcPr>
            <w:tcW w:w="1280" w:type="dxa"/>
            <w:vMerge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shd w:val="clear" w:color="auto" w:fill="auto"/>
          </w:tcPr>
          <w:p w:rsidR="00245CB5" w:rsidRDefault="00EF71C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Значительная</w:t>
            </w: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CB5">
        <w:tc>
          <w:tcPr>
            <w:tcW w:w="1280" w:type="dxa"/>
            <w:vMerge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shd w:val="clear" w:color="auto" w:fill="auto"/>
          </w:tcPr>
          <w:p w:rsidR="00245CB5" w:rsidRDefault="00EF71C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CB5">
        <w:tc>
          <w:tcPr>
            <w:tcW w:w="1280" w:type="dxa"/>
            <w:vMerge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shd w:val="clear" w:color="auto" w:fill="auto"/>
          </w:tcPr>
          <w:p w:rsidR="00245CB5" w:rsidRDefault="00EF71C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Умеренная</w:t>
            </w: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CB5">
        <w:tc>
          <w:tcPr>
            <w:tcW w:w="1280" w:type="dxa"/>
            <w:vMerge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shd w:val="clear" w:color="auto" w:fill="auto"/>
          </w:tcPr>
          <w:p w:rsidR="00245CB5" w:rsidRDefault="00EF71C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shd w:val="clear" w:color="auto" w:fill="auto"/>
          </w:tcPr>
          <w:p w:rsidR="00245CB5" w:rsidRDefault="00245CB5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5CB5" w:rsidRDefault="00245CB5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тяжести потенциальных негативных последствий реализации сопряженного с риском события проводится с учетом: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возможной степени тяжести потенциальных случаев причинения вреда,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масштаба </w:t>
      </w:r>
      <w:r>
        <w:rPr>
          <w:rFonts w:ascii="Times New Roman" w:hAnsi="Times New Roman" w:cs="Times New Roman"/>
          <w:sz w:val="26"/>
          <w:szCs w:val="26"/>
        </w:rPr>
        <w:t>распространения потенциальных негативных последствий в рамках подобных случаев причинения вреда;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и (или) трудности преодоления возникших в их результате негативных последствий возможного несоблюдения обязательных требований (далее – величина вреда, сово</w:t>
      </w:r>
      <w:r>
        <w:rPr>
          <w:rFonts w:ascii="Times New Roman" w:hAnsi="Times New Roman" w:cs="Times New Roman"/>
          <w:sz w:val="26"/>
          <w:szCs w:val="26"/>
        </w:rPr>
        <w:t xml:space="preserve">купный ущерб);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возможной частоты возникновения потенциальных негативных последствий в рамках подобных случаев причинения вреда (далее – возможная частота возникновения вреда).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 степенью тяжести потенциальных случаев причинения вреда</w:t>
      </w:r>
      <w:r>
        <w:rPr>
          <w:rFonts w:ascii="Times New Roman" w:hAnsi="Times New Roman" w:cs="Times New Roman"/>
          <w:sz w:val="26"/>
          <w:szCs w:val="26"/>
        </w:rPr>
        <w:t xml:space="preserve"> подразумевается соответствующая классификация тяжести последствий произошедших случаев причинения вреда. Так, например, в случае если охраняемой законом ценностью является жизнь и здоровье граждан, то можно выделить следующие степени тяжести вреда (смерть</w:t>
      </w:r>
      <w:r>
        <w:rPr>
          <w:rFonts w:ascii="Times New Roman" w:hAnsi="Times New Roman" w:cs="Times New Roman"/>
          <w:sz w:val="26"/>
          <w:szCs w:val="26"/>
        </w:rPr>
        <w:t xml:space="preserve">, причинение тяжелого, среднего и незначительного вреда здоровью).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Под масштабом распространения потенциальных негативных последствий </w:t>
      </w:r>
      <w:r>
        <w:rPr>
          <w:rFonts w:ascii="Times New Roman" w:hAnsi="Times New Roman" w:cs="Times New Roman"/>
          <w:sz w:val="26"/>
          <w:szCs w:val="26"/>
        </w:rPr>
        <w:t>в рамках подобных случаев причинения вреда подразумевается количественное измерение охраняемых законом ценностей, находящ</w:t>
      </w:r>
      <w:r>
        <w:rPr>
          <w:rFonts w:ascii="Times New Roman" w:hAnsi="Times New Roman" w:cs="Times New Roman"/>
          <w:sz w:val="26"/>
          <w:szCs w:val="26"/>
        </w:rPr>
        <w:t>ихся под потенциальным негативным воздействием различной степени тяжести. Так, например, в случае если охраняемой законом ценностью является жизнь и здоровье человека, то подобные случаи причинения вреда можно классифицировать по потенциальному числу погиб</w:t>
      </w:r>
      <w:r>
        <w:rPr>
          <w:rFonts w:ascii="Times New Roman" w:hAnsi="Times New Roman" w:cs="Times New Roman"/>
          <w:sz w:val="26"/>
          <w:szCs w:val="26"/>
        </w:rPr>
        <w:t xml:space="preserve">ших, получивших тяжелый, средний или незначительный вред здоровью.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 трудностью преодоления возникших негативных последствий</w:t>
      </w:r>
      <w:r>
        <w:rPr>
          <w:rFonts w:ascii="Times New Roman" w:hAnsi="Times New Roman" w:cs="Times New Roman"/>
          <w:sz w:val="26"/>
          <w:szCs w:val="26"/>
        </w:rPr>
        <w:t xml:space="preserve"> реализации сопряженного с риском события понимается наличие компенсационных мер, возможности возмещения ущерба или ликвидации не</w:t>
      </w:r>
      <w:r>
        <w:rPr>
          <w:rFonts w:ascii="Times New Roman" w:hAnsi="Times New Roman" w:cs="Times New Roman"/>
          <w:sz w:val="26"/>
          <w:szCs w:val="26"/>
        </w:rPr>
        <w:t>гативных последствий. Так, например, причинение вреда в виде уклонения от уплаты налогов, может осложняться выводом данных средств за рубеж или конвертацию их в неликвидные активы. К примеру, если статистика указывает, что в таких случаях 30% вреда не удае</w:t>
      </w:r>
      <w:r>
        <w:rPr>
          <w:rFonts w:ascii="Times New Roman" w:hAnsi="Times New Roman" w:cs="Times New Roman"/>
          <w:sz w:val="26"/>
          <w:szCs w:val="26"/>
        </w:rPr>
        <w:t xml:space="preserve">тся возместить, то подобные случаи должны рассматриваться с повышающим коэффициентом (1,3) трудности преодоления негативных последствий. Использование такой характеристики, как трудность преодоления возникших негативных последствий реализации сопряженного </w:t>
      </w:r>
      <w:r>
        <w:rPr>
          <w:rFonts w:ascii="Times New Roman" w:hAnsi="Times New Roman" w:cs="Times New Roman"/>
          <w:sz w:val="26"/>
          <w:szCs w:val="26"/>
        </w:rPr>
        <w:t xml:space="preserve">с риском события, не является обязательной и должна применяться для тех видов государственного контроля (надзора), где это имеет практическую целесообразность.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Произведение возможной степени тяжести потенциальных случаев причинения вреда, масштаба </w:t>
      </w:r>
      <w:r>
        <w:rPr>
          <w:rFonts w:ascii="Times New Roman" w:hAnsi="Times New Roman" w:cs="Times New Roman"/>
          <w:b/>
          <w:sz w:val="26"/>
          <w:szCs w:val="26"/>
        </w:rPr>
        <w:t>распространения потенциальных негативных последствий в рамках подобных случаев причинения вреда и трудности преодоления возникших в их результате негативных последствий образуют собой величину вреда или совокупный ущерб.</w:t>
      </w:r>
    </w:p>
    <w:p w:rsidR="00245CB5" w:rsidRDefault="00EF71C4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Например, величина вреда жизни и зд</w:t>
      </w:r>
      <w:r>
        <w:rPr>
          <w:rFonts w:ascii="Times New Roman" w:hAnsi="Times New Roman" w:cs="Times New Roman"/>
          <w:sz w:val="26"/>
          <w:szCs w:val="26"/>
        </w:rPr>
        <w:t xml:space="preserve">оровью граждан (совокупный ущерб жизни и здоровью граждан) может быть рассчитана следующим образом: </w:t>
      </w:r>
    </w:p>
    <w:p w:rsidR="00245CB5" w:rsidRDefault="00EF71C4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гибель 10 человек и нанесение тяжелого вреда здоровью 100 человек = (1 условная единица) * 10 + (0,1 условных единиц) * 100 = 20 условных единиц возможной </w:t>
      </w:r>
      <w:r>
        <w:rPr>
          <w:rFonts w:ascii="Times New Roman" w:hAnsi="Times New Roman" w:cs="Times New Roman"/>
          <w:sz w:val="26"/>
          <w:szCs w:val="26"/>
        </w:rPr>
        <w:t>величины вреда, совокупного ущерба;</w:t>
      </w:r>
    </w:p>
    <w:p w:rsidR="00245CB5" w:rsidRDefault="00EF71C4">
      <w:pPr>
        <w:spacing w:after="0" w:line="312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гибель 1 человека и нанесение тяжелого вреда здоровью 10 000 человек = (1 условная единица) * 1 + (0,1 условных единиц) * 10 000 = 1001 условных единиц величины вреда, совокупного ущерба.</w:t>
      </w:r>
      <w:r>
        <w:t xml:space="preserve"> </w:t>
      </w:r>
    </w:p>
    <w:p w:rsidR="00245CB5" w:rsidRDefault="00EF71C4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Возможная тяжесть вреда при укл</w:t>
      </w:r>
      <w:r>
        <w:rPr>
          <w:rFonts w:ascii="Times New Roman" w:hAnsi="Times New Roman" w:cs="Times New Roman"/>
          <w:sz w:val="26"/>
          <w:szCs w:val="26"/>
        </w:rPr>
        <w:t>онении от уплаты налогов:</w:t>
      </w:r>
    </w:p>
    <w:p w:rsidR="00245CB5" w:rsidRDefault="00EF71C4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сумма неуплаченных средств 10 млрд. руб.</w:t>
      </w:r>
    </w:p>
    <w:p w:rsidR="00245CB5" w:rsidRDefault="00EF71C4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сумма неуплаченных средств 10 млрд. руб. и вывод за рубеж = 10 млрд. руб. * 1,3 = 13 млрд. руб.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Помимо величины вреда (совокупного ущерба), необходимо определить возможную частоту возникнов</w:t>
      </w:r>
      <w:r>
        <w:rPr>
          <w:rFonts w:ascii="Times New Roman" w:hAnsi="Times New Roman" w:cs="Times New Roman"/>
          <w:sz w:val="26"/>
          <w:szCs w:val="26"/>
        </w:rPr>
        <w:t xml:space="preserve">ения потенциальных негативных последствий в рамках подобных случаев причинения вреда, то есть </w:t>
      </w:r>
      <w:r>
        <w:rPr>
          <w:rFonts w:ascii="Times New Roman" w:hAnsi="Times New Roman" w:cs="Times New Roman"/>
          <w:i/>
          <w:sz w:val="26"/>
          <w:szCs w:val="26"/>
        </w:rPr>
        <w:t>вероятность наступления данного случая причинения вреда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5CB5" w:rsidRDefault="00EF71C4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примеру, вероятность смертельного отравления в крупном торговом центре, где возможная тяжесть вреда мо</w:t>
      </w:r>
      <w:r>
        <w:rPr>
          <w:rFonts w:ascii="Times New Roman" w:hAnsi="Times New Roman" w:cs="Times New Roman"/>
          <w:sz w:val="26"/>
          <w:szCs w:val="26"/>
        </w:rPr>
        <w:t>жет составлять 100 000 человеческих жизней, составляет 0,00001, что означает риск причинения вреда в результате  возможного несоблюдения обязательных требования равным  1 (100 000* *0,00001)</w:t>
      </w:r>
    </w:p>
    <w:p w:rsidR="00245CB5" w:rsidRDefault="00EF71C4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другой стороны, вероятность отравления в небольшом придорожном </w:t>
      </w:r>
      <w:r>
        <w:rPr>
          <w:rFonts w:ascii="Times New Roman" w:hAnsi="Times New Roman" w:cs="Times New Roman"/>
          <w:sz w:val="26"/>
          <w:szCs w:val="26"/>
        </w:rPr>
        <w:t xml:space="preserve">кафе, где возможная тяжесть вреда может составлять 100 человеческих жизней, составляет 0,2, что означает риск причинения вреда в результате возможного несоблюдения обязательных требования равным 20 (100* 0,2). </w:t>
      </w:r>
    </w:p>
    <w:p w:rsidR="00245CB5" w:rsidRDefault="00EF71C4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Несмотря на серьезную разницу между возможной</w:t>
      </w:r>
      <w:r>
        <w:rPr>
          <w:rFonts w:ascii="Times New Roman" w:hAnsi="Times New Roman" w:cs="Times New Roman"/>
          <w:sz w:val="26"/>
          <w:szCs w:val="26"/>
        </w:rPr>
        <w:t xml:space="preserve"> величиной вреда (100 000 и 100 человек соответственно), вероятность первого события настолько ниже (0,00001 против 0,2), что итоговый уровень риска причинения вреда в первом случае на порядок ниже. Управленческим следствием подобного примера является то, </w:t>
      </w:r>
      <w:r>
        <w:rPr>
          <w:rFonts w:ascii="Times New Roman" w:hAnsi="Times New Roman" w:cs="Times New Roman"/>
          <w:sz w:val="26"/>
          <w:szCs w:val="26"/>
        </w:rPr>
        <w:t>что придорожные кафе могут быть значительнее опаснее, чем крупные торговые центры, которые сами заинтересованы в контроле качества, применяют современные технические средства и т.д. Таким образом, на основании оценки уровня риска причинения вреда, придорож</w:t>
      </w:r>
      <w:r>
        <w:rPr>
          <w:rFonts w:ascii="Times New Roman" w:hAnsi="Times New Roman" w:cs="Times New Roman"/>
          <w:sz w:val="26"/>
          <w:szCs w:val="26"/>
        </w:rPr>
        <w:t xml:space="preserve">ное кафе должно попасть в более высокую категорию риска, чем крупный торговый центр.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возможной частоты возникновения вреда должна основываться на объективных и достоверных данных по причиненному вреду.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Такой оценке необходимо уделять максимально во</w:t>
      </w:r>
      <w:r>
        <w:rPr>
          <w:rFonts w:ascii="Times New Roman" w:hAnsi="Times New Roman" w:cs="Times New Roman"/>
          <w:sz w:val="26"/>
          <w:szCs w:val="26"/>
        </w:rPr>
        <w:t xml:space="preserve">зможное внимание для того чтобы в высокие категории риска не попадали исключительно объекты, с потенциально высокой величиной вреда. Иначе все усилия контрольно-надзорных органов будут направлены на подобные объекты, а те объекты, где отсутствует подобный </w:t>
      </w:r>
      <w:r>
        <w:rPr>
          <w:rFonts w:ascii="Times New Roman" w:hAnsi="Times New Roman" w:cs="Times New Roman"/>
          <w:sz w:val="26"/>
          <w:szCs w:val="26"/>
        </w:rPr>
        <w:t>высокий объем потенциального вреда, но на практике причиняется реальный вред разной степени тяжести, и которые вносят существенный вклад в общую статистику случаев причинения вреда, будут необоснованно освобождены от государственного контроля (надзора).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>и оценке возможной частоты возникновения вреда анализируемая обобщенная информация об индивидуальных характеристиках подконтрольных субъектов (объектов), представляющих наибольший риск причинения вреда может быть использована в качестве критериев отнесения</w:t>
      </w:r>
      <w:r>
        <w:rPr>
          <w:rFonts w:ascii="Times New Roman" w:hAnsi="Times New Roman" w:cs="Times New Roman"/>
          <w:sz w:val="26"/>
          <w:szCs w:val="26"/>
        </w:rPr>
        <w:t xml:space="preserve"> к тому или иному уровню риска.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частности, если в результате ранее проведенных контрольно-надзорных мероприятий и расследования причин случаев причинения вреда можно выделить какие-то общие факторы, которые значительно влияют на уровень риска причинения</w:t>
      </w:r>
      <w:r>
        <w:rPr>
          <w:rFonts w:ascii="Times New Roman" w:hAnsi="Times New Roman" w:cs="Times New Roman"/>
          <w:sz w:val="26"/>
          <w:szCs w:val="26"/>
        </w:rPr>
        <w:t xml:space="preserve"> вреда для всей подконтрольной сферы, то такие факторы могут быть использованы в качестве причин критериев риска. Например, в качестве подобных критериев может быть использовано наличие или отсутствие того или иного персонала, а также их персональные харак</w:t>
      </w:r>
      <w:r>
        <w:rPr>
          <w:rFonts w:ascii="Times New Roman" w:hAnsi="Times New Roman" w:cs="Times New Roman"/>
          <w:sz w:val="26"/>
          <w:szCs w:val="26"/>
        </w:rPr>
        <w:t>теристики. Так, если в результате расследования причин несчастных случаев или по результатам проведенных контрольно-надзорных мероприятий выясняется, что, например, источником риска является квалификация персонала, отвечающего за безопасность в этой сфере,</w:t>
      </w:r>
      <w:r>
        <w:rPr>
          <w:rFonts w:ascii="Times New Roman" w:hAnsi="Times New Roman" w:cs="Times New Roman"/>
          <w:sz w:val="26"/>
          <w:szCs w:val="26"/>
        </w:rPr>
        <w:t xml:space="preserve"> а статистически значимой причиной риска является работа в организации на позиции главного инженера лица, имеющего менее 5 лет рабочего стажа в этой сфере деятельности или непрофильное образование, то такая причина риска может быть использован в качестве к</w:t>
      </w:r>
      <w:r>
        <w:rPr>
          <w:rFonts w:ascii="Times New Roman" w:hAnsi="Times New Roman" w:cs="Times New Roman"/>
          <w:sz w:val="26"/>
          <w:szCs w:val="26"/>
        </w:rPr>
        <w:t xml:space="preserve">ритерия отнесения к категории риска.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оценке возможной частоты возникновения вреда анализируемая обобщенная информация об индивидуальных характеристиках подконтрольных субъектов (объектов), представляющих наибольший риск причинения вреда может быть исп</w:t>
      </w:r>
      <w:r>
        <w:rPr>
          <w:rFonts w:ascii="Times New Roman" w:hAnsi="Times New Roman" w:cs="Times New Roman"/>
          <w:sz w:val="26"/>
          <w:szCs w:val="26"/>
        </w:rPr>
        <w:t xml:space="preserve">ользована в качестве критериев отнесения к категории риска.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частности, если в результате ранее проведенных контрольно-надзорных мероприятий и расследования причин случаев причинения вреда можно выделить какие-то общие факторы, которые значительно влияют</w:t>
      </w:r>
      <w:r>
        <w:rPr>
          <w:rFonts w:ascii="Times New Roman" w:hAnsi="Times New Roman" w:cs="Times New Roman"/>
          <w:sz w:val="26"/>
          <w:szCs w:val="26"/>
        </w:rPr>
        <w:t xml:space="preserve"> на уровень риска причинения вреда для всей контрольно-надзорной сферы, то такие факторы могут быть использованы в качестве критериев риска. Например, в качестве подобных критериев может быть использовано наличие или отсутствие того или иного персонала, а </w:t>
      </w:r>
      <w:r>
        <w:rPr>
          <w:rFonts w:ascii="Times New Roman" w:hAnsi="Times New Roman" w:cs="Times New Roman"/>
          <w:sz w:val="26"/>
          <w:szCs w:val="26"/>
        </w:rPr>
        <w:t>также их персональные характеристики. Так, если в результате расследования причин несчастных случаев или по результатам проведенных контрольно-надзорных выясняется, что, например, источником риска является квалификация персонала, отвечающего за безопасност</w:t>
      </w:r>
      <w:r>
        <w:rPr>
          <w:rFonts w:ascii="Times New Roman" w:hAnsi="Times New Roman" w:cs="Times New Roman"/>
          <w:sz w:val="26"/>
          <w:szCs w:val="26"/>
        </w:rPr>
        <w:t>ь в этой сфере, а статистически значимым фактором риска является работа в организации на позиции главного инженера должностного лица, имеющего менее 5 лет рабочего стажа в этой сфере деятельности или непрофильное образование, то такой фактор риска может бы</w:t>
      </w:r>
      <w:r>
        <w:rPr>
          <w:rFonts w:ascii="Times New Roman" w:hAnsi="Times New Roman" w:cs="Times New Roman"/>
          <w:sz w:val="26"/>
          <w:szCs w:val="26"/>
        </w:rPr>
        <w:t xml:space="preserve">ть использован в качестве критерия отнесения к категории риска.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разнесения причин риска по матрице риска, необходимо определить уровень риска, связанный с теми или иными причинами. Уровень риска определяется количественными значениями (когда это мож</w:t>
      </w:r>
      <w:r>
        <w:rPr>
          <w:rFonts w:ascii="Times New Roman" w:hAnsi="Times New Roman" w:cs="Times New Roman"/>
          <w:sz w:val="26"/>
          <w:szCs w:val="26"/>
        </w:rPr>
        <w:t>ет быть посчитано) наступления в результате наступления события, следствием которого может стать причинение вреда охраняемым законом ценностям, и количественными (относительными) значениями уровня потенциального вреда, а также относительными значениями вер</w:t>
      </w:r>
      <w:r>
        <w:rPr>
          <w:rFonts w:ascii="Times New Roman" w:hAnsi="Times New Roman" w:cs="Times New Roman"/>
          <w:sz w:val="26"/>
          <w:szCs w:val="26"/>
        </w:rPr>
        <w:t xml:space="preserve">оятностями (когда это не может быть точно рассчитано). 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Одно и то же значение уровня риска может быть получено разными сочетаниями возможной тяжести вреда и возможной частоты его наступления.  Так, причиненный вред одному гражданину с вероятностью в 10%, </w:t>
      </w:r>
      <w:r>
        <w:rPr>
          <w:rFonts w:ascii="Times New Roman" w:hAnsi="Times New Roman" w:cs="Times New Roman"/>
          <w:sz w:val="26"/>
          <w:szCs w:val="26"/>
        </w:rPr>
        <w:t>математически идентичен ситуации, когда вред, причиненный 10 гражданам с вероятностью в 1%.  Один и тот же уровень риска отображается в матрице риска одним и тем же цветом.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учета причин, которые определяют возможную величину вреда и возможную частоту</w:t>
      </w:r>
      <w:r>
        <w:rPr>
          <w:rFonts w:ascii="Times New Roman" w:hAnsi="Times New Roman" w:cs="Times New Roman"/>
          <w:sz w:val="26"/>
          <w:szCs w:val="26"/>
        </w:rPr>
        <w:t xml:space="preserve"> его возникновения, требуется также учесть критерии, которые указывают на поведенческие особенности того или иного подконтрольного субъекта,  то есть, </w:t>
      </w:r>
      <w:r>
        <w:rPr>
          <w:rFonts w:ascii="Times New Roman" w:hAnsi="Times New Roman" w:cs="Times New Roman"/>
          <w:b/>
          <w:sz w:val="26"/>
          <w:szCs w:val="26"/>
        </w:rPr>
        <w:t>нужно оценить вероятность несоблюдения данными юридическими лицами и индивидуальными предпринимателями об</w:t>
      </w:r>
      <w:r>
        <w:rPr>
          <w:rFonts w:ascii="Times New Roman" w:hAnsi="Times New Roman" w:cs="Times New Roman"/>
          <w:b/>
          <w:sz w:val="26"/>
          <w:szCs w:val="26"/>
        </w:rPr>
        <w:t>язательных требований (предположение относительно их добросовестности)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Допустим, что на основе анализа статистики случаев причинения вреда установлено, что к высокому уровню риска относятся придорожные кафе, которые соответствуют следующему профилю риска:</w:t>
      </w:r>
      <w:r>
        <w:rPr>
          <w:rFonts w:ascii="Times New Roman" w:hAnsi="Times New Roman" w:cs="Times New Roman"/>
          <w:sz w:val="26"/>
          <w:szCs w:val="26"/>
        </w:rPr>
        <w:t xml:space="preserve"> «придорожные кафе, работающие на удалении от крупных населенных пунктов и расположенные вблизи дорог федерального значения, с датой регистрации не более 3 лет». Таким образом, необходимо придорожные кафе, которые подпадают под эти критерии, отнести к кате</w:t>
      </w:r>
      <w:r>
        <w:rPr>
          <w:rFonts w:ascii="Times New Roman" w:hAnsi="Times New Roman" w:cs="Times New Roman"/>
          <w:sz w:val="26"/>
          <w:szCs w:val="26"/>
        </w:rPr>
        <w:t xml:space="preserve">гории высокого риска. Однако, статистика также показывает, что несмотря на то, что 75% подобных придорожных кафе совершают грубые нарушения обязательных требований и тем самым вносит весомый вклад в смертность от пищевых отравлений, 25% подобных субъектов </w:t>
      </w:r>
      <w:r>
        <w:rPr>
          <w:rFonts w:ascii="Times New Roman" w:hAnsi="Times New Roman" w:cs="Times New Roman"/>
          <w:sz w:val="26"/>
          <w:szCs w:val="26"/>
        </w:rPr>
        <w:t>не совершают грубых нарушений обязательных требований и являются добросовестными участниками рынка. Таким образом, излишнее внимание в отношении этих 25% добросовестных придорожных кафе является избыточным административным давлением и неэффективным расходо</w:t>
      </w:r>
      <w:r>
        <w:rPr>
          <w:rFonts w:ascii="Times New Roman" w:hAnsi="Times New Roman" w:cs="Times New Roman"/>
          <w:sz w:val="26"/>
          <w:szCs w:val="26"/>
        </w:rPr>
        <w:t xml:space="preserve">ванием бюджетных средств на их проверку.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 же время может быть верной и обратная ситуация, когда 99% крупных торговых центров не совершает грубых нарушений обязательных требований, а 1% совершает, что вызывает необходимость механизма повышения его кате</w:t>
      </w:r>
      <w:r>
        <w:rPr>
          <w:rFonts w:ascii="Times New Roman" w:hAnsi="Times New Roman" w:cs="Times New Roman"/>
          <w:sz w:val="26"/>
          <w:szCs w:val="26"/>
        </w:rPr>
        <w:t>гории риска. Поэтому, чтобы учесть подобные ситуации, необходимо также учитывать оценку  вероятности несоблюдения юридическими лицами и индивидуальными предпринимателями обязательных требований для того чтобы разделять добросовестных и недобросовестных юри</w:t>
      </w:r>
      <w:r>
        <w:rPr>
          <w:rFonts w:ascii="Times New Roman" w:hAnsi="Times New Roman" w:cs="Times New Roman"/>
          <w:sz w:val="26"/>
          <w:szCs w:val="26"/>
        </w:rPr>
        <w:t>дических лиц и индивидуальных предпринимателей, из числа тех, кто изначально находится в высоких категориях риска. Это позволит более тонко настраивать систему управления рисками, а также создавать стимулы для добросовестного поведения подконтрольных субъе</w:t>
      </w:r>
      <w:r>
        <w:rPr>
          <w:rFonts w:ascii="Times New Roman" w:hAnsi="Times New Roman" w:cs="Times New Roman"/>
          <w:sz w:val="26"/>
          <w:szCs w:val="26"/>
        </w:rPr>
        <w:t xml:space="preserve">ктов.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оценке вероятности несоблюдения юридическими лицами и индивидуальными предпринимателями обязательных требований анализируется имеющаяся в распоряжении органов государственного контроля (надзора) информация о результатах ранее проведенных контрол</w:t>
      </w:r>
      <w:r>
        <w:rPr>
          <w:rFonts w:ascii="Times New Roman" w:hAnsi="Times New Roman" w:cs="Times New Roman"/>
          <w:sz w:val="26"/>
          <w:szCs w:val="26"/>
        </w:rPr>
        <w:t>ьно-надзорных мероприятий в отношении данного юридического лица или индивидуального предпринимателя и назначенных ему административных наказаниях за нарушение обязательных требований. Подобная индивидуализированная информация может использоваться в качеств</w:t>
      </w:r>
      <w:r>
        <w:rPr>
          <w:rFonts w:ascii="Times New Roman" w:hAnsi="Times New Roman" w:cs="Times New Roman"/>
          <w:sz w:val="26"/>
          <w:szCs w:val="26"/>
        </w:rPr>
        <w:t xml:space="preserve">е критериев оценки вероятности несоблюдения юридическими лицами и индивидуальными предпринимателями обязательных требований.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 же время, не могут быть использованы в качестве критериев оценки вероятности несоблюдения юридическими лицами и индивидуальными предпринимателями обязательных требований сведения, которые не могут быть однозначно индивидуализированы или которые наруша</w:t>
      </w:r>
      <w:r>
        <w:rPr>
          <w:rFonts w:ascii="Times New Roman" w:hAnsi="Times New Roman" w:cs="Times New Roman"/>
          <w:sz w:val="26"/>
          <w:szCs w:val="26"/>
        </w:rPr>
        <w:t>ют презумпцию добросовестности подконтрольных субъектов. Так, в частности, не может быть использована в качестве критерия статистика нарушений обязательных требований по видам экономической деятельности, где всем экономическим субъектам присваиваются те ил</w:t>
      </w:r>
      <w:r>
        <w:rPr>
          <w:rFonts w:ascii="Times New Roman" w:hAnsi="Times New Roman" w:cs="Times New Roman"/>
          <w:sz w:val="26"/>
          <w:szCs w:val="26"/>
        </w:rPr>
        <w:t xml:space="preserve">и иные значения вероятности несоблюдения юридическими лицами и индивидуальными предпринимателями обязательных требований, только исходя из их принадлежности к той или иной отрасли или подотрасли.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Учет индивидуального поведения, предполагающий возможность </w:t>
      </w:r>
      <w:r>
        <w:rPr>
          <w:rFonts w:ascii="Times New Roman" w:hAnsi="Times New Roman" w:cs="Times New Roman"/>
          <w:sz w:val="26"/>
          <w:szCs w:val="26"/>
        </w:rPr>
        <w:t>перемещения как в более высокую, так и в более низкую категорию риска при недобросовестном или добросовестном поведении, соответственно, в случае если подобное индивидуальное поведение статистически свидетельствует о снижении риска причинения вреда.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</w:t>
      </w:r>
      <w:r>
        <w:rPr>
          <w:rFonts w:ascii="Times New Roman" w:hAnsi="Times New Roman" w:cs="Times New Roman"/>
          <w:sz w:val="26"/>
          <w:szCs w:val="26"/>
        </w:rPr>
        <w:t xml:space="preserve">того, как риски были распределены в матрице рисков по степени вероятности и последствиям, а каждой комбинации вероятности и последствий был присвоен уровень критичности (то есть, выявлен уровень риска), </w:t>
      </w:r>
      <w:r>
        <w:rPr>
          <w:rFonts w:ascii="Times New Roman" w:hAnsi="Times New Roman" w:cs="Times New Roman"/>
          <w:b/>
          <w:sz w:val="26"/>
          <w:szCs w:val="26"/>
        </w:rPr>
        <w:t>контрольно-надзорный орган может использовать эту м</w:t>
      </w:r>
      <w:r>
        <w:rPr>
          <w:rFonts w:ascii="Times New Roman" w:hAnsi="Times New Roman" w:cs="Times New Roman"/>
          <w:b/>
          <w:sz w:val="26"/>
          <w:szCs w:val="26"/>
        </w:rPr>
        <w:t>атрицу, чтобы ранжировать выявленные риски по значимости исходя из уровней рисков.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Полученная матрица рисков служит методической основой для структурирования критериев риска. По сути, причины и профили риска, используемые для построения матрицы риска, и об</w:t>
      </w:r>
      <w:r>
        <w:rPr>
          <w:rFonts w:ascii="Times New Roman" w:hAnsi="Times New Roman" w:cs="Times New Roman"/>
          <w:b/>
          <w:sz w:val="26"/>
          <w:szCs w:val="26"/>
        </w:rPr>
        <w:t>разуют критерии риска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с развитием технологий мощным инструментом, помогающим наиболее корректно и эффективно проводить оценку рисков, становится анализ массива больших данных (Big Data),  применение «искусственного интеллекта», «интернета веще</w:t>
      </w:r>
      <w:r>
        <w:rPr>
          <w:rFonts w:ascii="Times New Roman" w:hAnsi="Times New Roman" w:cs="Times New Roman"/>
          <w:sz w:val="26"/>
          <w:szCs w:val="26"/>
        </w:rPr>
        <w:t>й», промышленного «интернета вещей».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для анализа и оценивания рисков наряду с методом построения матрицы рисков могут применяться и иные методы. Большинство таких методов – статистические, которые направлены на поиск взаимосвязей между событиями в по</w:t>
      </w:r>
      <w:r>
        <w:rPr>
          <w:rFonts w:ascii="Times New Roman" w:hAnsi="Times New Roman" w:cs="Times New Roman"/>
          <w:sz w:val="26"/>
          <w:szCs w:val="26"/>
        </w:rPr>
        <w:t xml:space="preserve">дконтрольной сфере и случаями причинения вреда охраняемым законом ценностям. 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Статистические методы  могут быть поделены на параметрические, основанные на параметрах указанной причинно-следственной связи, и непараметрические. </w:t>
      </w:r>
      <w:r>
        <w:rPr>
          <w:rStyle w:val="a9"/>
          <w:rFonts w:ascii="Times New Roman" w:hAnsi="Times New Roman" w:cs="Times New Roman"/>
          <w:sz w:val="26"/>
          <w:szCs w:val="26"/>
        </w:rPr>
        <w:footnoteReference w:id="9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Среди групп параметрических методов широко используются регрессионный анализ (линейный или логистический) и дискриминантный анализ. 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Непараметрические методы основаны на «интеллектуальном» анализе данных (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data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mining</w:t>
      </w:r>
      <w:r>
        <w:rPr>
          <w:rFonts w:ascii="Times New Roman" w:hAnsi="Times New Roman" w:cs="Times New Roman"/>
          <w:sz w:val="26"/>
          <w:szCs w:val="26"/>
        </w:rPr>
        <w:t xml:space="preserve">), заключающемся в автоматизированном  </w:t>
      </w:r>
      <w:r>
        <w:rPr>
          <w:rFonts w:ascii="Times New Roman" w:hAnsi="Times New Roman" w:cs="Times New Roman"/>
          <w:sz w:val="26"/>
          <w:szCs w:val="26"/>
        </w:rPr>
        <w:t xml:space="preserve">исследовании и анализе больших объемов разрозненных данных с целью выявления значимых закономерностей. Наиболее известными техниками «интеллектуального» анализа данных являются «дерево решений», нейронные сети, кластерный анализ.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в некоторых с</w:t>
      </w:r>
      <w:r>
        <w:rPr>
          <w:rFonts w:ascii="Times New Roman" w:hAnsi="Times New Roman" w:cs="Times New Roman"/>
          <w:sz w:val="26"/>
          <w:szCs w:val="26"/>
        </w:rPr>
        <w:t xml:space="preserve">ферах регулирования </w:t>
      </w:r>
      <w:r>
        <w:rPr>
          <w:rFonts w:ascii="Times New Roman" w:hAnsi="Times New Roman" w:cs="Times New Roman"/>
          <w:b/>
          <w:sz w:val="26"/>
          <w:szCs w:val="26"/>
        </w:rPr>
        <w:t>методики оценки риска могут быть отражены в нормативных актах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5CB5" w:rsidRDefault="00EF71C4">
      <w:pPr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Например, в сфере градостроительных отношений действует ГОСТ Р 53195.1-2008 «Национальный стандарт Российской Федерации. Безопасность функциональная связанных с безопасност</w:t>
      </w:r>
      <w:r>
        <w:rPr>
          <w:rFonts w:ascii="Times New Roman" w:hAnsi="Times New Roman" w:cs="Times New Roman"/>
          <w:sz w:val="26"/>
          <w:szCs w:val="26"/>
        </w:rPr>
        <w:t>ью зданий и сооружений систем. Часть 1. Основные положения», раскрывает, в том числе концепцию установления допустимого риска на основе принципа разумной достаточности, основные принципы оценки риска и оценки полноты безопасности.</w:t>
      </w:r>
    </w:p>
    <w:p w:rsidR="00245CB5" w:rsidRDefault="00EF71C4">
      <w:pPr>
        <w:spacing w:line="312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В разделе 7.2 данного ста</w:t>
      </w:r>
      <w:r>
        <w:rPr>
          <w:rFonts w:ascii="Times New Roman" w:hAnsi="Times New Roman" w:cs="Times New Roman"/>
          <w:sz w:val="26"/>
          <w:szCs w:val="26"/>
        </w:rPr>
        <w:t>ндарта задан общий принцип итерационности процесса оценки и снижения риска и приведена соответствующая схема:</w:t>
      </w:r>
      <w:r>
        <w:tab/>
      </w:r>
      <w:r>
        <w:rPr>
          <w:noProof/>
          <w:lang w:eastAsia="ru-RU"/>
        </w:rPr>
        <w:drawing>
          <wp:inline distT="0" distB="10160" distL="0" distR="1905">
            <wp:extent cx="3427095" cy="2834640"/>
            <wp:effectExtent l="0" t="0" r="0" b="0"/>
            <wp:docPr id="1" name="Picture 4" descr="ÐÐ¡Ð¢ Ð  53195.1-2008 ÐÐµÐ·Ð¾Ð¿Ð°ÑÐ½Ð¾ÑÑÑ ÑÑÐ½ÐºÑÐ¸Ð¾Ð½Ð°Ð»ÑÐ½Ð°Ñ ÑÐ²ÑÐ·Ð°Ð½Ð½ÑÑ Ñ Ð±ÐµÐ·Ð¾Ð¿Ð°ÑÐ½Ð¾ÑÑÑÑ Ð·Ð´Ð°Ð½Ð¸Ð¹ Ð¸ ÑÐ¾Ð¾ÑÑÐ¶ÐµÐ½Ð¸Ð¹ ÑÐ¸ÑÑÐµÐ¼. Ð§Ð°ÑÑÑ 1. ÐÑÐ½Ð¾Ð²Ð½ÑÐµ Ð¿Ð¾Ð»Ð¾Ð¶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ÐÐ¡Ð¢ Ð  53195.1-2008 ÐÐµÐ·Ð¾Ð¿Ð°ÑÐ½Ð¾ÑÑÑ ÑÑÐ½ÐºÑÐ¸Ð¾Ð½Ð°Ð»ÑÐ½Ð°Ñ ÑÐ²ÑÐ·Ð°Ð½Ð½ÑÑ Ñ Ð±ÐµÐ·Ð¾Ð¿Ð°ÑÐ½Ð¾ÑÑÑÑ Ð·Ð´Ð°Ð½Ð¸Ð¹ Ð¸ ÑÐ¾Ð¾ÑÑÐ¶ÐµÐ½Ð¸Ð¹ ÑÐ¸ÑÑÐµÐ¼. Ð§Ð°ÑÑÑ 1. ÐÑÐ½Ð¾Ð²Ð½ÑÐµ Ð¿Ð¾Ð»Ð¾Ð¶ÐµÐ½Ð¸Ñ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CB5" w:rsidRDefault="00245CB5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приложениях Е и Ж к рассматриваемому стандарту детально описаны методики анализа риска, основанные на количественных и качественных подходах.</w:t>
      </w:r>
    </w:p>
    <w:p w:rsidR="00245CB5" w:rsidRDefault="00245CB5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45CB5" w:rsidRDefault="00EF71C4">
      <w:pPr>
        <w:pStyle w:val="3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bookmarkStart w:id="13" w:name="_Toc792374"/>
      <w:r>
        <w:rPr>
          <w:rFonts w:ascii="Times New Roman" w:hAnsi="Times New Roman" w:cs="Times New Roman"/>
          <w:color w:val="auto"/>
          <w:sz w:val="26"/>
          <w:szCs w:val="26"/>
        </w:rPr>
        <w:t>1.3.5. Cтратегии и меры реагирования на риски: определение и применение</w:t>
      </w:r>
      <w:bookmarkEnd w:id="13"/>
    </w:p>
    <w:p w:rsidR="00245CB5" w:rsidRDefault="00245CB5"/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приоритизации рисков нужно определить стратегии и меры реагирования на них.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этого, в первую очередь, следует выяснить, какой уровень риска является допустимым в соответст</w:t>
      </w:r>
      <w:r>
        <w:rPr>
          <w:rFonts w:ascii="Times New Roman" w:hAnsi="Times New Roman" w:cs="Times New Roman"/>
          <w:sz w:val="26"/>
          <w:szCs w:val="26"/>
        </w:rPr>
        <w:t xml:space="preserve">вующей сфере регулирования.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Допустимый уровень риска</w:t>
      </w:r>
      <w:r>
        <w:rPr>
          <w:rFonts w:ascii="Times New Roman" w:hAnsi="Times New Roman" w:cs="Times New Roman"/>
          <w:sz w:val="26"/>
          <w:szCs w:val="26"/>
        </w:rPr>
        <w:t xml:space="preserve"> (приемлемый уровень риска) – это такие качественные и количественные характеристики риска, при которых с учетом степени социального, экономического и духовного развития общества риск  считается нормальн</w:t>
      </w:r>
      <w:r>
        <w:rPr>
          <w:rFonts w:ascii="Times New Roman" w:hAnsi="Times New Roman" w:cs="Times New Roman"/>
          <w:sz w:val="26"/>
          <w:szCs w:val="26"/>
        </w:rPr>
        <w:t>ым.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публичного сектора вопрос о допустимости уровня риска является особенно тонким, поскольку речь идет об официальном признании в качестве приемлемого того факта, что в случае реализации сопряженного с риском события существует вероятность причинения </w:t>
      </w:r>
      <w:r>
        <w:rPr>
          <w:rFonts w:ascii="Times New Roman" w:hAnsi="Times New Roman" w:cs="Times New Roman"/>
          <w:sz w:val="26"/>
          <w:szCs w:val="26"/>
        </w:rPr>
        <w:t>вреда охраняемым законом ценностям.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Иначе говоря, допустимый уровень риска характеризует степень готовности общества к принятию риска.  Поэтому данная проблема не может быть решена кем-то единолично, в том числе контрольно-надзорным органом, и нужно выявит</w:t>
      </w:r>
      <w:r>
        <w:rPr>
          <w:rFonts w:ascii="Times New Roman" w:hAnsi="Times New Roman" w:cs="Times New Roman"/>
          <w:sz w:val="26"/>
          <w:szCs w:val="26"/>
        </w:rPr>
        <w:t>ь объективные критерии допустимого уровня риска. Как правило, такие критерии уже содержатся в нормативных правовых актах.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Самые общие и при этом самые важные критерии допустимого уровня риска для всех сфер регулирования отражены в уголовном и административ</w:t>
      </w:r>
      <w:r>
        <w:rPr>
          <w:rFonts w:ascii="Times New Roman" w:hAnsi="Times New Roman" w:cs="Times New Roman"/>
          <w:sz w:val="26"/>
          <w:szCs w:val="26"/>
        </w:rPr>
        <w:t xml:space="preserve">ном законодательстве, где они сформулированы в качестве общественно опасных последствий нарушений обязательных требований или угрозы наступления таких последствий.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Более узкие критерии допустимого уровня риска и (или) методика его расчета могут быть устан</w:t>
      </w:r>
      <w:r>
        <w:rPr>
          <w:rFonts w:ascii="Times New Roman" w:hAnsi="Times New Roman" w:cs="Times New Roman"/>
          <w:sz w:val="26"/>
          <w:szCs w:val="26"/>
        </w:rPr>
        <w:t>овлены в правовых документах, относящихся к сфере регулирования.</w:t>
      </w:r>
    </w:p>
    <w:p w:rsidR="00245CB5" w:rsidRDefault="00EF71C4">
      <w:pPr>
        <w:spacing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Например, ранее упомянутый стандарт ГОСТ Р 53195.1-2008 «Национальный стандарт Российской Федерации. Безопасность функциональная связанных с безопасностью зданий и сооружений систем. Часть 1.</w:t>
      </w:r>
      <w:r>
        <w:rPr>
          <w:rFonts w:ascii="Times New Roman" w:hAnsi="Times New Roman" w:cs="Times New Roman"/>
          <w:sz w:val="26"/>
          <w:szCs w:val="26"/>
        </w:rPr>
        <w:t xml:space="preserve"> Основные положения», который распространяется на системы, связанные с безопасностью зданий и сооружений, раскрывает, в том числе перечень опасностей и угроз, критерии и категории тяжести последствий при реализации опасных событий, а также концепцию устано</w:t>
      </w:r>
      <w:r>
        <w:rPr>
          <w:rFonts w:ascii="Times New Roman" w:hAnsi="Times New Roman" w:cs="Times New Roman"/>
          <w:sz w:val="26"/>
          <w:szCs w:val="26"/>
        </w:rPr>
        <w:t>вления допустимого риска на основе принципа разумной достаточности. Помимо прочего, данный стандарт содержит обширный понятий аппарат, в котором раскрываются также такие термины, как  «максимально допустимый риск» (это максимальное установленное значение п</w:t>
      </w:r>
      <w:r>
        <w:rPr>
          <w:rFonts w:ascii="Times New Roman" w:hAnsi="Times New Roman" w:cs="Times New Roman"/>
          <w:sz w:val="26"/>
          <w:szCs w:val="26"/>
        </w:rPr>
        <w:t>риемлемого риска), «недопустимый риск» (риск, который не может быть оправдан ни при каких обычных обстоятельствах), «приемлемый риск» (риск, который считается обычным при данных обстоятельствах, на основе существующих в текущий период времени ценностей и в</w:t>
      </w:r>
      <w:r>
        <w:rPr>
          <w:rFonts w:ascii="Times New Roman" w:hAnsi="Times New Roman" w:cs="Times New Roman"/>
          <w:sz w:val="26"/>
          <w:szCs w:val="26"/>
        </w:rPr>
        <w:t>озможностей общества и государства). В соответствии с разделом 8 рассматриваемого стандарта уровень приемлемого риска, связанного с использованием и эксплуатацией здания и сооружения, должен соответствовать требованиям соответствующего технического регламе</w:t>
      </w:r>
      <w:r>
        <w:rPr>
          <w:rFonts w:ascii="Times New Roman" w:hAnsi="Times New Roman" w:cs="Times New Roman"/>
          <w:sz w:val="26"/>
          <w:szCs w:val="26"/>
        </w:rPr>
        <w:t>нта, требованиям технических условий (специальных технических условий) и технического задания на проектирование объекта, утвержденных в установленном порядке. При установлении уровня приемлемого риска должны быть приняты во внимание технические и технологи</w:t>
      </w:r>
      <w:r>
        <w:rPr>
          <w:rFonts w:ascii="Times New Roman" w:hAnsi="Times New Roman" w:cs="Times New Roman"/>
          <w:sz w:val="26"/>
          <w:szCs w:val="26"/>
        </w:rPr>
        <w:t>ческие достижения, а также экономические и социальные факторы. Установление уровня приемлемого риска может быть основано на применении принципа разумной достаточности («</w:t>
      </w:r>
      <w:r>
        <w:rPr>
          <w:rFonts w:ascii="Times New Roman" w:hAnsi="Times New Roman" w:cs="Times New Roman"/>
          <w:sz w:val="26"/>
          <w:szCs w:val="26"/>
          <w:lang w:val="en-US"/>
        </w:rPr>
        <w:t>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low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reasonably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practicable</w:t>
      </w:r>
      <w:r>
        <w:rPr>
          <w:rFonts w:ascii="Times New Roman" w:hAnsi="Times New Roman" w:cs="Times New Roman"/>
          <w:sz w:val="26"/>
          <w:szCs w:val="26"/>
        </w:rPr>
        <w:t xml:space="preserve">» - ALARP), требующего, чтобы любой риск был снижен, </w:t>
      </w:r>
      <w:r>
        <w:rPr>
          <w:rFonts w:ascii="Times New Roman" w:hAnsi="Times New Roman" w:cs="Times New Roman"/>
          <w:sz w:val="26"/>
          <w:szCs w:val="26"/>
        </w:rPr>
        <w:t>насколько это реально возможно и целесообразно. В стандарте подробно описывается методика применения данного принципа к сфере безопасности эксплуатации зданий и сооружений.</w:t>
      </w:r>
    </w:p>
    <w:p w:rsidR="00245CB5" w:rsidRDefault="00EF71C4">
      <w:pPr>
        <w:spacing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Чтобы проверить правильность определения допустимого уровня риска можно использоват</w:t>
      </w:r>
      <w:r>
        <w:rPr>
          <w:rFonts w:ascii="Times New Roman" w:hAnsi="Times New Roman" w:cs="Times New Roman"/>
          <w:sz w:val="26"/>
          <w:szCs w:val="26"/>
        </w:rPr>
        <w:t xml:space="preserve">ь утвержденные для контрольно-надзорного органа показатели результативности и эффективности группы «А», отражающие предельные плановые значения по потенциальному ущербу охраняемым законом ценностям.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Допустимый уровень риска должен учитывать такую потенциа</w:t>
      </w:r>
      <w:r>
        <w:rPr>
          <w:rFonts w:ascii="Times New Roman" w:hAnsi="Times New Roman" w:cs="Times New Roman"/>
          <w:sz w:val="26"/>
          <w:szCs w:val="26"/>
        </w:rPr>
        <w:t>льную частоту возникновения сопряженных с риском событий и такой объем возможного вреда охраняемым законом ценностям вследствие реализации этих событий, чтобы за расчетный период совокупный вред качественно и количественно не превышал соответствующих показ</w:t>
      </w:r>
      <w:r>
        <w:rPr>
          <w:rFonts w:ascii="Times New Roman" w:hAnsi="Times New Roman" w:cs="Times New Roman"/>
          <w:sz w:val="26"/>
          <w:szCs w:val="26"/>
        </w:rPr>
        <w:t>ателей.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 же время на первых уровнях зрелости управления рисками значения показателей результативности и эффективности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группы «А» могут серьезно превышать значения приемлемого уровня риска, взятых в разрезе допустимых объемов вреда охраняемым законом це</w:t>
      </w:r>
      <w:r>
        <w:rPr>
          <w:rFonts w:ascii="Times New Roman" w:hAnsi="Times New Roman" w:cs="Times New Roman"/>
          <w:sz w:val="26"/>
          <w:szCs w:val="26"/>
        </w:rPr>
        <w:t xml:space="preserve">нностям, однако постепенно такое различие должно уменьшаться и соответствующие показатели, не теряя в реалистичности, должны стремиться к установленному приемлемому уровню риска.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определения допустимого уровня риска нужно выбрать </w:t>
      </w:r>
      <w:r>
        <w:rPr>
          <w:rFonts w:ascii="Times New Roman" w:hAnsi="Times New Roman" w:cs="Times New Roman"/>
          <w:i/>
          <w:sz w:val="26"/>
          <w:szCs w:val="26"/>
        </w:rPr>
        <w:t>стратегию</w:t>
      </w:r>
      <w:r>
        <w:rPr>
          <w:rFonts w:ascii="Times New Roman" w:hAnsi="Times New Roman" w:cs="Times New Roman"/>
          <w:sz w:val="26"/>
          <w:szCs w:val="26"/>
        </w:rPr>
        <w:t xml:space="preserve"> реагирова</w:t>
      </w:r>
      <w:r>
        <w:rPr>
          <w:rFonts w:ascii="Times New Roman" w:hAnsi="Times New Roman" w:cs="Times New Roman"/>
          <w:sz w:val="26"/>
          <w:szCs w:val="26"/>
        </w:rPr>
        <w:t xml:space="preserve">ния на риск. Это предполагает </w:t>
      </w:r>
      <w:r>
        <w:rPr>
          <w:rFonts w:ascii="Times New Roman" w:hAnsi="Times New Roman" w:cs="Times New Roman"/>
          <w:b/>
          <w:sz w:val="26"/>
          <w:szCs w:val="26"/>
        </w:rPr>
        <w:t>выработку отношения к риску, оценку собственных ресурсов воздействия на риск и определение плана дальнейшей работы с риском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органов власти доступны 3 основные стратегии реагирования на риск: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b/>
          <w:sz w:val="26"/>
          <w:szCs w:val="26"/>
        </w:rPr>
        <w:t>смягчение риска</w:t>
      </w:r>
      <w:r>
        <w:rPr>
          <w:rFonts w:ascii="Times New Roman" w:hAnsi="Times New Roman" w:cs="Times New Roman"/>
          <w:sz w:val="26"/>
          <w:szCs w:val="26"/>
        </w:rPr>
        <w:t>: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принятие</w:t>
      </w:r>
      <w:r>
        <w:rPr>
          <w:rFonts w:ascii="Times New Roman" w:hAnsi="Times New Roman" w:cs="Times New Roman"/>
          <w:sz w:val="26"/>
          <w:szCs w:val="26"/>
        </w:rPr>
        <w:t xml:space="preserve"> мер, направленных на снижение вероятности возникновения сопряженного с риском события и (или) вероятности причинения вреда охраняемым законом ценностям и (или) уменьшение тяжести неблагоприятных последствий;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) избегание риска</w:t>
      </w:r>
      <w:r>
        <w:rPr>
          <w:rFonts w:ascii="Times New Roman" w:hAnsi="Times New Roman" w:cs="Times New Roman"/>
          <w:sz w:val="26"/>
          <w:szCs w:val="26"/>
        </w:rPr>
        <w:t xml:space="preserve">: принятие решения о запрете </w:t>
      </w:r>
      <w:r>
        <w:rPr>
          <w:rFonts w:ascii="Times New Roman" w:hAnsi="Times New Roman" w:cs="Times New Roman"/>
          <w:sz w:val="26"/>
          <w:szCs w:val="26"/>
        </w:rPr>
        <w:t>деятельности, которая создает условия для возникновения риска;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передача (разделение) риска</w:t>
      </w:r>
      <w:r>
        <w:rPr>
          <w:rFonts w:ascii="Times New Roman" w:hAnsi="Times New Roman" w:cs="Times New Roman"/>
          <w:sz w:val="26"/>
          <w:szCs w:val="26"/>
        </w:rPr>
        <w:t>: полная передача или разделение ответственности за риск с иным лицом (лицами).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Есть также стратегия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допущения (принятия) риска:</w:t>
      </w:r>
      <w:r>
        <w:rPr>
          <w:rFonts w:ascii="Times New Roman" w:hAnsi="Times New Roman" w:cs="Times New Roman"/>
          <w:sz w:val="26"/>
          <w:szCs w:val="26"/>
        </w:rPr>
        <w:t xml:space="preserve"> ведомство признает наличие риска, </w:t>
      </w:r>
      <w:r>
        <w:rPr>
          <w:rFonts w:ascii="Times New Roman" w:hAnsi="Times New Roman" w:cs="Times New Roman"/>
          <w:sz w:val="26"/>
          <w:szCs w:val="26"/>
        </w:rPr>
        <w:t>понимает его уровень, но сознательно не предпринимает никаких действий для снижения вероятности реализации сопряженного с риском события и вероятности наступления возможных неблагоприятных последствий и их масштабов. Ее применение оправдано лишь в некото</w:t>
      </w:r>
      <w:r>
        <w:rPr>
          <w:rFonts w:ascii="Times New Roman" w:hAnsi="Times New Roman" w:cs="Times New Roman"/>
          <w:sz w:val="26"/>
          <w:szCs w:val="26"/>
        </w:rPr>
        <w:t xml:space="preserve">рых ситуациях, и в большинстве случаев допущение рисков крайне нежелательно и является исключением. 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Выбор наиболее приемлемой  стратегии основывается на поиске равновесия между следующими факторами: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состояние защищенности охраняемых законом ценностей:</w:t>
      </w:r>
      <w:r>
        <w:rPr>
          <w:rFonts w:ascii="Times New Roman" w:hAnsi="Times New Roman" w:cs="Times New Roman"/>
          <w:sz w:val="26"/>
          <w:szCs w:val="26"/>
        </w:rPr>
        <w:t xml:space="preserve"> избранная стратегия должна обеспечивать такое снижение риска, чтобы он не превышал предельный допустимый уровень;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ресурсы органов власти на реализацию избранной стратегии: следует использовать кадровые, материальные, финансовые и иные ресурсы максималь</w:t>
      </w:r>
      <w:r>
        <w:rPr>
          <w:rFonts w:ascii="Times New Roman" w:hAnsi="Times New Roman" w:cs="Times New Roman"/>
          <w:sz w:val="26"/>
          <w:szCs w:val="26"/>
        </w:rPr>
        <w:t xml:space="preserve">но эффективно – с наименьшими затратами, но с возможностью достичь наилучшего результата;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 «нагрузка» заинтересованных сторон: применяемая стратегия реагирования на риск не должна приводить к необоснованным и (или) чрезмерным административным и материа</w:t>
      </w:r>
      <w:r>
        <w:rPr>
          <w:rFonts w:ascii="Times New Roman" w:hAnsi="Times New Roman" w:cs="Times New Roman"/>
          <w:sz w:val="26"/>
          <w:szCs w:val="26"/>
        </w:rPr>
        <w:t>льным издержкам подконтрольных субъектов, значительно затрудняющим, делающим невыгодным и (или) невозможным дальнейшее осуществление ими экономической деятельности, сопряженной с риском.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Контрольно-надзорный орган, руководствуясь этими критериями, может пр</w:t>
      </w:r>
      <w:r>
        <w:rPr>
          <w:rFonts w:ascii="Times New Roman" w:hAnsi="Times New Roman" w:cs="Times New Roman"/>
          <w:b/>
          <w:sz w:val="26"/>
          <w:szCs w:val="26"/>
        </w:rPr>
        <w:t>идерживаться нескольких стратегий одновременно. К примеру, стратегия передачи (разделения) риска может аккомпанировать любой из перечисленных. Или при выборе стратегии передачи риска в качестве основной целесообразно одновременно прорабатывать возможные ва</w:t>
      </w:r>
      <w:r>
        <w:rPr>
          <w:rFonts w:ascii="Times New Roman" w:hAnsi="Times New Roman" w:cs="Times New Roman"/>
          <w:b/>
          <w:sz w:val="26"/>
          <w:szCs w:val="26"/>
        </w:rPr>
        <w:t>рианты смягчения риска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того чтобы стратегия реагирования на риск действительно соответствовала всем перечисленным критериям, к выработке стратегии следует привлекать заинтересованных сторон и иных владельцев риска.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Рассмотрим более подробно стратегии</w:t>
      </w:r>
      <w:r>
        <w:rPr>
          <w:rFonts w:ascii="Times New Roman" w:hAnsi="Times New Roman" w:cs="Times New Roman"/>
          <w:sz w:val="26"/>
          <w:szCs w:val="26"/>
        </w:rPr>
        <w:t xml:space="preserve"> реагирования на риски.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sz w:val="26"/>
          <w:szCs w:val="26"/>
        </w:rPr>
        <w:t>Смягчение риска</w:t>
      </w:r>
      <w:r>
        <w:rPr>
          <w:rFonts w:ascii="Times New Roman" w:hAnsi="Times New Roman" w:cs="Times New Roman"/>
          <w:sz w:val="26"/>
          <w:szCs w:val="26"/>
        </w:rPr>
        <w:t xml:space="preserve"> является ведущей стратегией и предполагает принятие органом власти мер, направленных на уменьшение вероятности реализации сопряженного с риском события и (или) вероятности причинения вреда охраняемым законом ценно</w:t>
      </w:r>
      <w:r>
        <w:rPr>
          <w:rFonts w:ascii="Times New Roman" w:hAnsi="Times New Roman" w:cs="Times New Roman"/>
          <w:sz w:val="26"/>
          <w:szCs w:val="26"/>
        </w:rPr>
        <w:t xml:space="preserve">стям, и (или)  объема потенциального вреда и (или) изменение (смягчение) характера возможных негативных последствий.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Смягчить риск можно, работая с источниками и связанными с ними причинами риска. В зависимости от характера источников и причин риска для э</w:t>
      </w:r>
      <w:r>
        <w:rPr>
          <w:rFonts w:ascii="Times New Roman" w:hAnsi="Times New Roman" w:cs="Times New Roman"/>
          <w:sz w:val="26"/>
          <w:szCs w:val="26"/>
        </w:rPr>
        <w:t xml:space="preserve">того могут реализовываться мероприятия по контролю и (или) профилактические мероприятия, или изменение нормативного регулирования.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примеру, для снижения риска гибели людей, причинения вреда здоровью и имуществу вследствие пожаров в жилых помещениях могу</w:t>
      </w:r>
      <w:r>
        <w:rPr>
          <w:rFonts w:ascii="Times New Roman" w:hAnsi="Times New Roman" w:cs="Times New Roman"/>
          <w:sz w:val="26"/>
          <w:szCs w:val="26"/>
        </w:rPr>
        <w:t xml:space="preserve">т быть реализованы профилактические и последующие контрольные мероприятия: установление пожарных сигнализаций в жилых домах и квартирах, а после – периодическая проверка исправности соответствующего оборудования.  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Иногда наиболее эффективный способ сниже</w:t>
      </w:r>
      <w:r>
        <w:rPr>
          <w:rFonts w:ascii="Times New Roman" w:hAnsi="Times New Roman" w:cs="Times New Roman"/>
          <w:sz w:val="26"/>
          <w:szCs w:val="26"/>
        </w:rPr>
        <w:t>ния риска  - воздействие на причину риска путем внесения необходимых изменений в законодательство. Так, например, для снижения вероятности порчи лекарственных препаратов в аптеках вследствие нарушения электропитания холодильного оборудования можно рекоменд</w:t>
      </w:r>
      <w:r>
        <w:rPr>
          <w:rFonts w:ascii="Times New Roman" w:hAnsi="Times New Roman" w:cs="Times New Roman"/>
          <w:sz w:val="26"/>
          <w:szCs w:val="26"/>
        </w:rPr>
        <w:t xml:space="preserve">овать иметь в исправном состоянии и при необходимости использовать резервные электрогенераторы.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свою очередь, в случае применения регулятивных мер по изменению законодательства одновременно должны быть определены соответствующие механизмы и процедуры оц</w:t>
      </w:r>
      <w:r>
        <w:rPr>
          <w:rFonts w:ascii="Times New Roman" w:hAnsi="Times New Roman" w:cs="Times New Roman"/>
          <w:sz w:val="26"/>
          <w:szCs w:val="26"/>
        </w:rPr>
        <w:t xml:space="preserve">енки его соблюдения.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смягчения последствий возможного события может применяться </w:t>
      </w:r>
      <w:r>
        <w:rPr>
          <w:rFonts w:ascii="Times New Roman" w:hAnsi="Times New Roman" w:cs="Times New Roman"/>
          <w:b/>
          <w:sz w:val="26"/>
          <w:szCs w:val="26"/>
        </w:rPr>
        <w:t>диверсификация</w:t>
      </w:r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что подразумевает максимальное снижение зависимости безопасности охраняемых законом ценностей от одного конкретного параметра, который может измениться в будущем. Для контрольно-надзорных органов это означает необходимость принятия разнородных мер по защи</w:t>
      </w:r>
      <w:r>
        <w:rPr>
          <w:rFonts w:ascii="Times New Roman" w:hAnsi="Times New Roman" w:cs="Times New Roman"/>
          <w:sz w:val="26"/>
          <w:szCs w:val="26"/>
        </w:rPr>
        <w:t xml:space="preserve">те одной и той же ценности от  одного и того же риска. 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Например, для снижения риска заражения вирусом гриппа лиц, работающих в социальном секторе, одновременно могут быть реализованы такие виды мер, как  обязательная вакцинация, обязательный медицинский </w:t>
      </w:r>
      <w:r>
        <w:rPr>
          <w:rFonts w:ascii="Times New Roman" w:hAnsi="Times New Roman" w:cs="Times New Roman"/>
          <w:sz w:val="26"/>
          <w:szCs w:val="26"/>
        </w:rPr>
        <w:t xml:space="preserve">осмотр в период вспышки вируса, информирование о способах профилактики. </w:t>
      </w:r>
    </w:p>
    <w:p w:rsidR="00245CB5" w:rsidRDefault="00245CB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sz w:val="26"/>
          <w:szCs w:val="26"/>
        </w:rPr>
        <w:t>Избегание риска</w:t>
      </w:r>
      <w:r>
        <w:rPr>
          <w:rFonts w:ascii="Times New Roman" w:hAnsi="Times New Roman" w:cs="Times New Roman"/>
          <w:sz w:val="26"/>
          <w:szCs w:val="26"/>
        </w:rPr>
        <w:t xml:space="preserve"> связано с запретом деятельности, отдельных процессов, действий, сопряженных с риском.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 по себе запрет деятельности может быть как индивидуальным, так и общим. </w:t>
      </w:r>
      <w:r>
        <w:rPr>
          <w:rFonts w:ascii="Times New Roman" w:hAnsi="Times New Roman" w:cs="Times New Roman"/>
          <w:sz w:val="26"/>
          <w:szCs w:val="26"/>
        </w:rPr>
        <w:t>Индивидуальные запреты часто связаны с противоправностью поведения конкретного субъекта. В зависимости от типа запрета он вводится либо путем издания индивидуального акта (например, решение о прекращении лицензии), либо – акта общего характера (законодател</w:t>
      </w:r>
      <w:r>
        <w:rPr>
          <w:rFonts w:ascii="Times New Roman" w:hAnsi="Times New Roman" w:cs="Times New Roman"/>
          <w:sz w:val="26"/>
          <w:szCs w:val="26"/>
        </w:rPr>
        <w:t>ьный запрет). Однако в первом случае речь идет о результате применения мере реагирования на выявленный риск  (выявленное по итогам проверочных мероприятий нарушение обязательных требований, могущее повлечь причинение вреда охраняемым законом ценностям) и т</w:t>
      </w:r>
      <w:r>
        <w:rPr>
          <w:rFonts w:ascii="Times New Roman" w:hAnsi="Times New Roman" w:cs="Times New Roman"/>
          <w:sz w:val="26"/>
          <w:szCs w:val="26"/>
        </w:rPr>
        <w:t>олько во втором – о стратегии работы с риском.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Стратегия избегания риска приоритетна, если риск охраняемым законом ценностям является недопустимым, а законодательный запрет сопряженных с риском деятельности, процессов, действий объективно не приведет к соц</w:t>
      </w:r>
      <w:r>
        <w:rPr>
          <w:rFonts w:ascii="Times New Roman" w:hAnsi="Times New Roman" w:cs="Times New Roman"/>
          <w:sz w:val="26"/>
          <w:szCs w:val="26"/>
        </w:rPr>
        <w:t xml:space="preserve">иальным, экономическим или экологическим проблемам, бóльшим по сравнению с возможными негативными последствиями реализации устраняемого риска.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остальных случаях ведомствам надо взвешенно подходить к применению стратегии избегания риска,  поскольку тотал</w:t>
      </w:r>
      <w:r>
        <w:rPr>
          <w:rFonts w:ascii="Times New Roman" w:hAnsi="Times New Roman" w:cs="Times New Roman"/>
          <w:sz w:val="26"/>
          <w:szCs w:val="26"/>
        </w:rPr>
        <w:t>ьный запрет деятельности или отдельных процессов, сопряженных с риском, одновременно означает отказ от всех связанных с риском выгод (например, развитие потенциально прогрессивных и востребованных технологий).  В этой связи ключевой критерий оценки действ</w:t>
      </w:r>
      <w:r>
        <w:rPr>
          <w:rFonts w:ascii="Times New Roman" w:hAnsi="Times New Roman" w:cs="Times New Roman"/>
          <w:sz w:val="26"/>
          <w:szCs w:val="26"/>
        </w:rPr>
        <w:t xml:space="preserve">ий по управлению риском – наличие баланса между состоянием защищенности охраняемых законом ценностей (допустимый уровень риска не должен быть превышен) и создаваемыми барьерами для осуществления связанной с риском экономической деятельности.  </w:t>
      </w:r>
    </w:p>
    <w:p w:rsidR="00245CB5" w:rsidRDefault="00245CB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 силу с</w:t>
      </w:r>
      <w:r>
        <w:rPr>
          <w:rFonts w:ascii="Times New Roman" w:hAnsi="Times New Roman" w:cs="Times New Roman"/>
          <w:sz w:val="26"/>
          <w:szCs w:val="26"/>
        </w:rPr>
        <w:t xml:space="preserve">пецифики рисков публичной сферы </w:t>
      </w:r>
      <w:r>
        <w:rPr>
          <w:rFonts w:ascii="Times New Roman" w:hAnsi="Times New Roman" w:cs="Times New Roman"/>
          <w:b/>
          <w:sz w:val="26"/>
          <w:szCs w:val="26"/>
        </w:rPr>
        <w:t>передача (разделение) риска</w:t>
      </w:r>
      <w:r>
        <w:rPr>
          <w:rFonts w:ascii="Times New Roman" w:hAnsi="Times New Roman" w:cs="Times New Roman"/>
          <w:sz w:val="26"/>
          <w:szCs w:val="26"/>
        </w:rPr>
        <w:t xml:space="preserve"> – довольна редкая стратегия. Но и она допустима, и может быть реализована с помощью компенсационных механизмов (страхование или иные альтернативные методы компенсаций при наступлении неблагоприятн</w:t>
      </w:r>
      <w:r>
        <w:rPr>
          <w:rFonts w:ascii="Times New Roman" w:hAnsi="Times New Roman" w:cs="Times New Roman"/>
          <w:sz w:val="26"/>
          <w:szCs w:val="26"/>
        </w:rPr>
        <w:t>ых последствий реализовавшегося риска) или вместе с перераспределением связанных с ответственностью за риск публичных функций между различными органами/лицами.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Важно понимать, что передача (разделение) риска сама по себе не влияет на качественное и количес</w:t>
      </w:r>
      <w:r>
        <w:rPr>
          <w:rFonts w:ascii="Times New Roman" w:hAnsi="Times New Roman" w:cs="Times New Roman"/>
          <w:sz w:val="26"/>
          <w:szCs w:val="26"/>
        </w:rPr>
        <w:t xml:space="preserve">твенное состояние источников и причин риска и, следовательно, не влияет на вероятность наступления сопряженных с риском событий и вероятность и масштабы причинения вреда охраняемым законом  ценностям.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передача риска с помощью компенсационных механизм</w:t>
      </w:r>
      <w:r>
        <w:rPr>
          <w:rFonts w:ascii="Times New Roman" w:hAnsi="Times New Roman" w:cs="Times New Roman"/>
          <w:sz w:val="26"/>
          <w:szCs w:val="26"/>
        </w:rPr>
        <w:t>ов направлена только на материальную компенсацию затрат, требуемых для устранения/смягчения последствий реализации риска.</w:t>
      </w:r>
    </w:p>
    <w:p w:rsidR="00245CB5" w:rsidRDefault="00EF71C4">
      <w:pPr>
        <w:spacing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Например, страхование – наиболее часто используемый компенсационный механизм. В отечественной практике ярким примером его применения я</w:t>
      </w:r>
      <w:r>
        <w:rPr>
          <w:rFonts w:ascii="Times New Roman" w:hAnsi="Times New Roman" w:cs="Times New Roman"/>
          <w:sz w:val="26"/>
          <w:szCs w:val="26"/>
        </w:rPr>
        <w:t>вляется обязательное страхование гражданской ответственности владельцев транспортных средств. Однако очевидно, что данный механизм не снижает риска аварий по вине водителей транспортных средств, и органам власти следует внимательно относиться к различным п</w:t>
      </w:r>
      <w:r>
        <w:rPr>
          <w:rFonts w:ascii="Times New Roman" w:hAnsi="Times New Roman" w:cs="Times New Roman"/>
          <w:sz w:val="26"/>
          <w:szCs w:val="26"/>
        </w:rPr>
        <w:t>ричинам (профилю) риска и воздействовать на них таким образом, чтобы уменьшить уровень риска.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Примером альтернативного компенсационного инструмента являются «катастрофные облигации» (catastrophe bond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), которые страховые компании, международные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или правительство могут выпускать в целях покрытия возможных потерь в случае реализации некоторых рисков, носящих всеобъемлющий характер и влекущих значительный вред охраняемым законом ценностям (пандемия, стихийные бедствия, террористические акты и т.п.)</w:t>
      </w:r>
      <w:r>
        <w:rPr>
          <w:rFonts w:ascii="Times New Roman" w:hAnsi="Times New Roman" w:cs="Times New Roman"/>
          <w:sz w:val="26"/>
          <w:szCs w:val="26"/>
        </w:rPr>
        <w:t>. Так, ураган Мэтью 4 категории, обрушившийся на Гаити в октябре 2016 г., привел к прямому ущербу экономике Гаити в размере порядка $ 2,7 млрд (около 32 % от ВВП страны), однако часть убытков                                        (около $ 25 млн) покрывал</w:t>
      </w:r>
      <w:r>
        <w:rPr>
          <w:rFonts w:ascii="Times New Roman" w:hAnsi="Times New Roman" w:cs="Times New Roman"/>
          <w:sz w:val="26"/>
          <w:szCs w:val="26"/>
        </w:rPr>
        <w:t xml:space="preserve">ась «катастрофными облигациями». 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Перераспределение полномочий с целью передачи ответственности за риск может оказаться эффективным решением в случае, если у контрольно-надзорного органа, к примеру, нет необходимых собственных ресурсов для реагирования на</w:t>
      </w:r>
      <w:r>
        <w:rPr>
          <w:rFonts w:ascii="Times New Roman" w:hAnsi="Times New Roman" w:cs="Times New Roman"/>
          <w:sz w:val="26"/>
          <w:szCs w:val="26"/>
        </w:rPr>
        <w:t xml:space="preserve"> риск и  (или) «принимающий» орган (лицо)  более компетентен в соответствующем направлении подконтрольной сферы.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если речь идет о передаче риска частным лицам, то риск передается вместе с полномочиями по выполнению определенных публичных функций. </w:t>
      </w:r>
      <w:r>
        <w:rPr>
          <w:rFonts w:ascii="Times New Roman" w:hAnsi="Times New Roman" w:cs="Times New Roman"/>
          <w:sz w:val="26"/>
          <w:szCs w:val="26"/>
        </w:rPr>
        <w:t>В этой связи государству необходимо установить правила реализации соответствующих функций и параметры оценки соблюдения частными лицами таких правил. Таким образом, в рассматриваемой ситуации можно говорить о сохранении у органов власти опосредованной отве</w:t>
      </w:r>
      <w:r>
        <w:rPr>
          <w:rFonts w:ascii="Times New Roman" w:hAnsi="Times New Roman" w:cs="Times New Roman"/>
          <w:sz w:val="26"/>
          <w:szCs w:val="26"/>
        </w:rPr>
        <w:t>тственности за переданные риски: они должны обеспечить надлежащее выполнение частными лицами переданных им функций, тем самым влияя на состояние защищенности охраняемых законом ценностей.</w:t>
      </w:r>
    </w:p>
    <w:p w:rsidR="00245CB5" w:rsidRDefault="00245CB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sz w:val="26"/>
          <w:szCs w:val="26"/>
        </w:rPr>
        <w:t>Допущение (принятие) риска</w:t>
      </w:r>
      <w:r>
        <w:rPr>
          <w:rFonts w:ascii="Times New Roman" w:hAnsi="Times New Roman" w:cs="Times New Roman"/>
          <w:sz w:val="26"/>
          <w:szCs w:val="26"/>
        </w:rPr>
        <w:t xml:space="preserve"> как сознательный выбор контрольно-над</w:t>
      </w:r>
      <w:r>
        <w:rPr>
          <w:rFonts w:ascii="Times New Roman" w:hAnsi="Times New Roman" w:cs="Times New Roman"/>
          <w:sz w:val="26"/>
          <w:szCs w:val="26"/>
        </w:rPr>
        <w:t>зорного органа является целесообразным только для незначительных рисков – с низкой вероятностью реализации и минимальным потенциальным ущербом охраняемым законом ценностям – и при условии, что затраты на снижение риска несоизмеримо превышают возможные выго</w:t>
      </w:r>
      <w:r>
        <w:rPr>
          <w:rFonts w:ascii="Times New Roman" w:hAnsi="Times New Roman" w:cs="Times New Roman"/>
          <w:sz w:val="26"/>
          <w:szCs w:val="26"/>
        </w:rPr>
        <w:t>ды от принятых  соответствующих мер.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остальных случаях допущение риска – негативная стратегия, идущая вразрез с целями деятельности органов власти и означающая признание того, что ведомства не желают и (или) неспособны принять меры по снижению вероятност</w:t>
      </w:r>
      <w:r>
        <w:rPr>
          <w:rFonts w:ascii="Times New Roman" w:hAnsi="Times New Roman" w:cs="Times New Roman"/>
          <w:sz w:val="26"/>
          <w:szCs w:val="26"/>
        </w:rPr>
        <w:t xml:space="preserve">и риска и вреда публично значимым благам.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Выбор той или иной стратегии (или нескольких стратегий) предполагает дальнейшее применение мер, направленных на ее реализацию, - </w:t>
      </w:r>
      <w:r>
        <w:rPr>
          <w:rFonts w:ascii="Times New Roman" w:hAnsi="Times New Roman" w:cs="Times New Roman"/>
          <w:b/>
          <w:sz w:val="26"/>
          <w:szCs w:val="26"/>
        </w:rPr>
        <w:t>меры реагирования на риски</w:t>
      </w:r>
      <w:r>
        <w:rPr>
          <w:rFonts w:ascii="Times New Roman" w:hAnsi="Times New Roman" w:cs="Times New Roman"/>
          <w:sz w:val="26"/>
          <w:szCs w:val="26"/>
        </w:rPr>
        <w:t>. Как правило, это следующие типы мер, которые могут равны</w:t>
      </w:r>
      <w:r>
        <w:rPr>
          <w:rFonts w:ascii="Times New Roman" w:hAnsi="Times New Roman" w:cs="Times New Roman"/>
          <w:sz w:val="26"/>
          <w:szCs w:val="26"/>
        </w:rPr>
        <w:t xml:space="preserve">м образом применяться для различных стратегий: </w:t>
      </w:r>
      <w:r>
        <w:rPr>
          <w:rFonts w:ascii="Times New Roman" w:hAnsi="Times New Roman" w:cs="Times New Roman"/>
          <w:b/>
          <w:sz w:val="26"/>
          <w:szCs w:val="26"/>
        </w:rPr>
        <w:t>профилактические мероприятия, мероприятия по контролю, изменение регулирования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Меры реагирования определяются в зависимости от основных причин рисков во всей подконтрольной сфере. Такие меры должны соответст</w:t>
      </w:r>
      <w:r>
        <w:rPr>
          <w:rFonts w:ascii="Times New Roman" w:hAnsi="Times New Roman" w:cs="Times New Roman"/>
          <w:sz w:val="26"/>
          <w:szCs w:val="26"/>
        </w:rPr>
        <w:t>вовать избранным стратегиям, основываться на результатах оценки рисков и различаться в зависимости от характера рисков охраняемым законом ценностям и особенностей подконтрольной сферы.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Важно, что в случае если контрольно-надзорные органы не обладают нормот</w:t>
      </w:r>
      <w:r>
        <w:rPr>
          <w:rFonts w:ascii="Times New Roman" w:hAnsi="Times New Roman" w:cs="Times New Roman"/>
          <w:sz w:val="26"/>
          <w:szCs w:val="26"/>
        </w:rPr>
        <w:t>ворческими полномочиями в подконтрольной сфере, при необходимости внесения изменений в обязательные требования они должны в рамках своей компетенции инициативно предпринимать все возможные шаги для продвижения этих изменений, включая подготовку проекта соо</w:t>
      </w:r>
      <w:r>
        <w:rPr>
          <w:rFonts w:ascii="Times New Roman" w:hAnsi="Times New Roman" w:cs="Times New Roman"/>
          <w:sz w:val="26"/>
          <w:szCs w:val="26"/>
        </w:rPr>
        <w:t xml:space="preserve">тветствующего нормативного правового акта и пояснительной записки, содержащей подтвержденное объективными и достоверными    данными обоснование необходимости  предлагаемых изменений. В частности, в большинстве случаев изменение регулирования требуется для </w:t>
      </w:r>
      <w:r>
        <w:rPr>
          <w:rFonts w:ascii="Times New Roman" w:hAnsi="Times New Roman" w:cs="Times New Roman"/>
          <w:sz w:val="26"/>
          <w:szCs w:val="26"/>
        </w:rPr>
        <w:t xml:space="preserve">неуправляемых причин риска, и это становится ясным уже на этапе анализа рисков.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для обеспечения экономического развития и роста в подконтрольной сфере, а также в целях стимулирования добросовестного поведения подконтрольных субъектов принципиальн</w:t>
      </w:r>
      <w:r>
        <w:rPr>
          <w:rFonts w:ascii="Times New Roman" w:hAnsi="Times New Roman" w:cs="Times New Roman"/>
          <w:sz w:val="26"/>
          <w:szCs w:val="26"/>
        </w:rPr>
        <w:t>о, чтобы изменение регулирования не сводилось к созданию новых запретов и ограничений, не обоснованных результатами оценки рисков. Обязательные требования должны меняться таким образом, чтобы, с одной стороны, действительно обеспечивать безопасность охраня</w:t>
      </w:r>
      <w:r>
        <w:rPr>
          <w:rFonts w:ascii="Times New Roman" w:hAnsi="Times New Roman" w:cs="Times New Roman"/>
          <w:sz w:val="26"/>
          <w:szCs w:val="26"/>
        </w:rPr>
        <w:t xml:space="preserve">емых законом ценностей, а с другой – содержать в себе позитивное побуждение граждан и организаций к соблюдению правовых норм и принятию необходимых мер, направленных на снижение риска.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свою очередь, при наличии оснований, предусмотренных законодательств</w:t>
      </w:r>
      <w:r>
        <w:rPr>
          <w:rFonts w:ascii="Times New Roman" w:hAnsi="Times New Roman" w:cs="Times New Roman"/>
          <w:sz w:val="26"/>
          <w:szCs w:val="26"/>
        </w:rPr>
        <w:t>ом, контрольно-надзорными органами должны осуществляться мероприятия по контролю. Однако это не исключает параллельной реализации профилактических мер и ведения работы по изменению нормативного регулирования.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Выбор интенсивности (форма, продолжительность, </w:t>
      </w:r>
      <w:r>
        <w:rPr>
          <w:rFonts w:ascii="Times New Roman" w:hAnsi="Times New Roman" w:cs="Times New Roman"/>
          <w:sz w:val="26"/>
          <w:szCs w:val="26"/>
        </w:rPr>
        <w:t xml:space="preserve">периодичность) мероприятий по контролю и по профилактике в отношении различных подконтрольных субъектов должен быть обусловлен уровнем их риска и обеспечивать предупреждение возникновения риска и (или) ущерба охраняемым законом ценностям.  </w:t>
      </w:r>
    </w:p>
    <w:p w:rsidR="00245CB5" w:rsidRDefault="00245CB5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pStyle w:val="3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bookmarkStart w:id="14" w:name="_Toc792375"/>
      <w:r>
        <w:rPr>
          <w:rFonts w:ascii="Times New Roman" w:hAnsi="Times New Roman" w:cs="Times New Roman"/>
          <w:color w:val="auto"/>
          <w:sz w:val="26"/>
          <w:szCs w:val="26"/>
        </w:rPr>
        <w:t>1.3.6. Инструм</w:t>
      </w:r>
      <w:r>
        <w:rPr>
          <w:rFonts w:ascii="Times New Roman" w:hAnsi="Times New Roman" w:cs="Times New Roman"/>
          <w:color w:val="auto"/>
          <w:sz w:val="26"/>
          <w:szCs w:val="26"/>
        </w:rPr>
        <w:t>енты управления рисками</w:t>
      </w:r>
      <w:bookmarkEnd w:id="14"/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действующего законодательства основными правовыми инструментами, помогающими контрольно-надзорным органам упреждать риски и выбирать наиболее подходящие меры реагирования на них,  являются критерии риска  и индикаторы </w:t>
      </w:r>
      <w:r>
        <w:rPr>
          <w:rFonts w:ascii="Times New Roman" w:hAnsi="Times New Roman" w:cs="Times New Roman"/>
          <w:sz w:val="26"/>
          <w:szCs w:val="26"/>
        </w:rPr>
        <w:t>риска. При этом критерии риска – это, в первую очередь, инструментарий планирования деятельности органа власти с учетом рисков, а индикаторы риска –  механизм, используемый для непосредственного реагирования на риски.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Критерии риска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(критерии риска) представляют собой объективн</w:t>
      </w:r>
      <w:r>
        <w:rPr>
          <w:rFonts w:ascii="Times New Roman" w:hAnsi="Times New Roman" w:cs="Times New Roman"/>
          <w:sz w:val="26"/>
          <w:szCs w:val="26"/>
        </w:rPr>
        <w:t>ые признаки (совокупность признаков), присущие юридическим лицам, индивидуальным предпринимателям в определенной отрасли и (или) используемым им производственным объектам и характеризующие тот или иной уровень риска для охраняемых законом ценностям вследст</w:t>
      </w:r>
      <w:r>
        <w:rPr>
          <w:rFonts w:ascii="Times New Roman" w:hAnsi="Times New Roman" w:cs="Times New Roman"/>
          <w:sz w:val="26"/>
          <w:szCs w:val="26"/>
        </w:rPr>
        <w:t>вие деятельности соответствующих лиц (объектов). Критерии риска – ключевой инструмент управления рисками, поскольку именно они применяются для дифференцирования интенсивности реализуемых на основании риск-ориентированного подхода мероприятий по контролю (п</w:t>
      </w:r>
      <w:r>
        <w:rPr>
          <w:rFonts w:ascii="Times New Roman" w:hAnsi="Times New Roman" w:cs="Times New Roman"/>
          <w:sz w:val="26"/>
          <w:szCs w:val="26"/>
        </w:rPr>
        <w:t xml:space="preserve">ериодичность, продолжительность, глубина) и профилактике. Для этого критерии риска должны быть обоснованы и являться результатом последовательной работы по оценке рисков (раздел 1.3.4 настоящего Стандарта).  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Постановлении № 806 даются базовые качествен</w:t>
      </w:r>
      <w:r>
        <w:rPr>
          <w:rFonts w:ascii="Times New Roman" w:hAnsi="Times New Roman" w:cs="Times New Roman"/>
          <w:sz w:val="26"/>
          <w:szCs w:val="26"/>
        </w:rPr>
        <w:t>ные характеристики и требования к обоснованности критериев риска и распределению подконтрольных субъектов по категориям риска (классам опасности). В частности, пунктами 6-8 Правил отнесения деятельности юридических лиц и индивидуальных предпринимателей и (</w:t>
      </w:r>
      <w:r>
        <w:rPr>
          <w:rFonts w:ascii="Times New Roman" w:hAnsi="Times New Roman" w:cs="Times New Roman"/>
          <w:sz w:val="26"/>
          <w:szCs w:val="26"/>
        </w:rPr>
        <w:t>или) используемых ими производственных объектов к определенной категории риска или определенному классу (категории) опасности, утвержденных Постановлением № 806, установлено: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критерии риска должны учитывать тяжесть потенциальных негативных последствий во</w:t>
      </w:r>
      <w:r>
        <w:rPr>
          <w:rFonts w:ascii="Times New Roman" w:hAnsi="Times New Roman" w:cs="Times New Roman"/>
          <w:sz w:val="26"/>
          <w:szCs w:val="26"/>
        </w:rPr>
        <w:t>зможного несоблюдения юридическими лицами и индивидуальными предпринимателями обязательных требований и вероятность несоблюдения юридическими лицами и индивидуальными предпринимателями обязательных требований;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критерии риска должны учитывать тяжесть поте</w:t>
      </w:r>
      <w:r>
        <w:rPr>
          <w:rFonts w:ascii="Times New Roman" w:hAnsi="Times New Roman" w:cs="Times New Roman"/>
          <w:sz w:val="26"/>
          <w:szCs w:val="26"/>
        </w:rPr>
        <w:t>нциальных негативных последствий возможного несоблюдения юридическими лицами и индивидуальными предпринимателями обязательных требований;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оценка тяжести потенциальных негативных последствий возможного несоблюдения юридическими лицами и индивидуальными пр</w:t>
      </w:r>
      <w:r>
        <w:rPr>
          <w:rFonts w:ascii="Times New Roman" w:hAnsi="Times New Roman" w:cs="Times New Roman"/>
          <w:sz w:val="26"/>
          <w:szCs w:val="26"/>
        </w:rPr>
        <w:t>едпринимателями обязательных требований проводится с учетом возможной степени тяжести потенциальных случаев причинения вреда и (или) возможной частоты возникновения и масштаба распространения потенциальных негативных последствий в рамках подобных случаев п</w:t>
      </w:r>
      <w:r>
        <w:rPr>
          <w:rFonts w:ascii="Times New Roman" w:hAnsi="Times New Roman" w:cs="Times New Roman"/>
          <w:sz w:val="26"/>
          <w:szCs w:val="26"/>
        </w:rPr>
        <w:t>ричинения вреда и (или) с учетом трудности преодоления возникших в их результате негативных последствий возможного несоблюдения обязательных требований.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Распределение критериев риска и, следовательно, подконтрольных субъектов (объектов) по категориям риска</w:t>
      </w:r>
      <w:r>
        <w:rPr>
          <w:rFonts w:ascii="Times New Roman" w:hAnsi="Times New Roman" w:cs="Times New Roman"/>
          <w:sz w:val="26"/>
          <w:szCs w:val="26"/>
        </w:rPr>
        <w:t xml:space="preserve"> (классам опасности) должно отражать градацию рисков и их основных причин с учетом влияния на  вероятность наступления события, могущего повлечь причинение вреда охраняемым законом ценностям, и на масштабы возможного вреда.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этого, кроме указанных норма</w:t>
      </w:r>
      <w:r>
        <w:rPr>
          <w:rFonts w:ascii="Times New Roman" w:hAnsi="Times New Roman" w:cs="Times New Roman"/>
          <w:sz w:val="26"/>
          <w:szCs w:val="26"/>
        </w:rPr>
        <w:t>тивных положений, нужно учитывать также  следующие факторы, влияющие на обоснованность критериев риска: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все параметры, используемые при построении матрицы риска, должны быть статистически обоснованы, конкретны, измеримы и релевантны цели минимизации вред</w:t>
      </w:r>
      <w:r>
        <w:rPr>
          <w:rFonts w:ascii="Times New Roman" w:hAnsi="Times New Roman" w:cs="Times New Roman"/>
          <w:sz w:val="26"/>
          <w:szCs w:val="26"/>
        </w:rPr>
        <w:t xml:space="preserve">а охраняемым ценностям;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информация, использующаяся для расчета критериев отнесения к категориям риска должна быть проверяема заинтересованными сторонами, обновляема и поддающаяся администрированию самим органом государственного контроля (надзора);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к</w:t>
      </w:r>
      <w:r>
        <w:rPr>
          <w:rFonts w:ascii="Times New Roman" w:hAnsi="Times New Roman" w:cs="Times New Roman"/>
          <w:sz w:val="26"/>
          <w:szCs w:val="26"/>
        </w:rPr>
        <w:t>ачестве критериев отнесения к категориям риска не может быть использована поступающая оперативно информация, указывающая на наличие нарушений обязательных требований, в результате которых может быть причинен вред охраняемым законом ценностям. Подобная инфо</w:t>
      </w:r>
      <w:r>
        <w:rPr>
          <w:rFonts w:ascii="Times New Roman" w:hAnsi="Times New Roman" w:cs="Times New Roman"/>
          <w:sz w:val="26"/>
          <w:szCs w:val="26"/>
        </w:rPr>
        <w:t xml:space="preserve">рмация может быть использована для определения наличия индикаторов риска и необходимости проведения внеплановых контрольно-надзорных мероприятий;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распределении подконтрольных субъектов по категориям риска необходимо ориентироваться на увеличение инт</w:t>
      </w:r>
      <w:r>
        <w:rPr>
          <w:rFonts w:ascii="Times New Roman" w:hAnsi="Times New Roman" w:cs="Times New Roman"/>
          <w:sz w:val="26"/>
          <w:szCs w:val="26"/>
        </w:rPr>
        <w:t>енсивности контрольно-надзорных мероприятий в отношении подконтрольных субъектов, причиняющих максимальный ущерб (вред) охраняемы ценностям, при одновременном снижении частоты проверок или отказ от плановых проверок в отношении подконтрольных субъектов (об</w:t>
      </w:r>
      <w:r>
        <w:rPr>
          <w:rFonts w:ascii="Times New Roman" w:hAnsi="Times New Roman" w:cs="Times New Roman"/>
          <w:sz w:val="26"/>
          <w:szCs w:val="26"/>
        </w:rPr>
        <w:t xml:space="preserve">ъектов), не причиняющих значимый вред охраняемым ценностям;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определении категорий риска и периодичности проведения мероприятий необходимо исходить из принципа достижения максимально возможного уровня риска, находящегося под управлением контрольно-на</w:t>
      </w:r>
      <w:r>
        <w:rPr>
          <w:rFonts w:ascii="Times New Roman" w:hAnsi="Times New Roman" w:cs="Times New Roman"/>
          <w:sz w:val="26"/>
          <w:szCs w:val="26"/>
        </w:rPr>
        <w:t>дзорного органа (то есть включенного в высокие категории риска). При этом не должно учитываться распределение, процент охвата и пропорции распределения подконтрольных субъектов между различными категориями риска (так как важно распределение рисков, их вели</w:t>
      </w:r>
      <w:r>
        <w:rPr>
          <w:rFonts w:ascii="Times New Roman" w:hAnsi="Times New Roman" w:cs="Times New Roman"/>
          <w:sz w:val="26"/>
          <w:szCs w:val="26"/>
        </w:rPr>
        <w:t>чины, размера и масштаба распространения, а не распределение подконтрольных субъектов). Категории чрезвычайно высокого, высокого и значительного риска должны, по возможности, охватывать не менее 80% причиненного вреда охраняемым законом ценностей (на основ</w:t>
      </w:r>
      <w:r>
        <w:rPr>
          <w:rFonts w:ascii="Times New Roman" w:hAnsi="Times New Roman" w:cs="Times New Roman"/>
          <w:sz w:val="26"/>
          <w:szCs w:val="26"/>
        </w:rPr>
        <w:t>е статистики за предшествующие периоды). Подобное распределение причинённого вреда означает, что 4/5 рисков причинения вреда находится под управлением органом государственного контроля (надзора);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определении категорий риска и периодичности проведения</w:t>
      </w:r>
      <w:r>
        <w:rPr>
          <w:rFonts w:ascii="Times New Roman" w:hAnsi="Times New Roman" w:cs="Times New Roman"/>
          <w:sz w:val="26"/>
          <w:szCs w:val="26"/>
        </w:rPr>
        <w:t xml:space="preserve"> мероприятий требуется учитывать необходимость снижения размера причиненного вреда, так что заявленная периодичность мероприятий в совокупности с имеющимся набором административной, уголовной или иной публично-правовой ответственности должны стимулировать </w:t>
      </w:r>
      <w:r>
        <w:rPr>
          <w:rFonts w:ascii="Times New Roman" w:hAnsi="Times New Roman" w:cs="Times New Roman"/>
          <w:sz w:val="26"/>
          <w:szCs w:val="26"/>
        </w:rPr>
        <w:t>добровольное и устойчивое добросовестное поведение;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подконтрольные субъекты, характеризующихся крайнее высокой степенью потенциальных негативных последствий (недопустимых ни при каких обстоятельствах) при одновременно крайне низкой вероятности наступлени</w:t>
      </w:r>
      <w:r>
        <w:rPr>
          <w:rFonts w:ascii="Times New Roman" w:hAnsi="Times New Roman" w:cs="Times New Roman"/>
          <w:sz w:val="26"/>
          <w:szCs w:val="26"/>
        </w:rPr>
        <w:t>я подобных негативных последствий, могут быть отнесены к высоким категориям риска в тех случаях, когда контрольно-надзорные мероприятия могут реально повлиять (с указанием механизмов и степени влияния) на масштаб распространения негативных последствий, фак</w:t>
      </w:r>
      <w:r>
        <w:rPr>
          <w:rFonts w:ascii="Times New Roman" w:hAnsi="Times New Roman" w:cs="Times New Roman"/>
          <w:sz w:val="26"/>
          <w:szCs w:val="26"/>
        </w:rPr>
        <w:t>т наступления подобных событий или снизить их вероятность (то есть снижать остаточный риск причинения вреда);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 распределении подконтрольных субъектов по категориям риска должны применяться максимально открытые, прозрачные и понятные критерии, формулы </w:t>
      </w:r>
      <w:r>
        <w:rPr>
          <w:rFonts w:ascii="Times New Roman" w:hAnsi="Times New Roman" w:cs="Times New Roman"/>
          <w:sz w:val="26"/>
          <w:szCs w:val="26"/>
        </w:rPr>
        <w:t>и расчеты. Базовой является модель, когда подконтрольный субъект может найти информацию о себе в табличной форме и сразу же понять к какой категории риска он относится.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Индикаторы риска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5.2 статьи 2 Федерального закона № 294-ФЗ</w:t>
      </w:r>
      <w:r>
        <w:rPr>
          <w:rFonts w:ascii="Times New Roman" w:hAnsi="Times New Roman" w:cs="Times New Roman"/>
          <w:sz w:val="26"/>
          <w:szCs w:val="26"/>
        </w:rPr>
        <w:t xml:space="preserve"> индикаторы риска – это утверждаемые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деятельности, параметры, соответствие ко</w:t>
      </w:r>
      <w:r>
        <w:rPr>
          <w:rFonts w:ascii="Times New Roman" w:hAnsi="Times New Roman" w:cs="Times New Roman"/>
          <w:sz w:val="26"/>
          <w:szCs w:val="26"/>
        </w:rPr>
        <w:t>торым или отклонение от которых, выявленные при проведении указанных в части 1 статьи 8.3 Федерального закона № 294-ФЗ мероприятий по контролю без взаимодействия с юридическими лицами, индивидуальными предпринимателями, сами по себе не являются доказательс</w:t>
      </w:r>
      <w:r>
        <w:rPr>
          <w:rFonts w:ascii="Times New Roman" w:hAnsi="Times New Roman" w:cs="Times New Roman"/>
          <w:sz w:val="26"/>
          <w:szCs w:val="26"/>
        </w:rPr>
        <w:t xml:space="preserve">твом нарушения обязательных требований, но свидетельствуют о высокой вероятности такого нарушения и могут являться основанием для проведения внеплановой проверки. 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 есть, индикаторы риска как инструмент управления рисками представляют собой формализован</w:t>
      </w:r>
      <w:r>
        <w:rPr>
          <w:rFonts w:ascii="Times New Roman" w:hAnsi="Times New Roman" w:cs="Times New Roman"/>
          <w:sz w:val="26"/>
          <w:szCs w:val="26"/>
        </w:rPr>
        <w:t xml:space="preserve">ные объективные, основанные на обстоятельствах нарушений обязательных требований критерии принятия решения о мерах реагирования на риски и направлены на предупреждение рисков и (или) фактов причинения ущерба охраняемым законом ценностям.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Следовательно, с </w:t>
      </w:r>
      <w:r>
        <w:rPr>
          <w:rFonts w:ascii="Times New Roman" w:hAnsi="Times New Roman" w:cs="Times New Roman"/>
          <w:sz w:val="26"/>
          <w:szCs w:val="26"/>
        </w:rPr>
        <w:t>точки зрения содержания, индикаторы риска должны отражать такие параметры деятельности подконтрольных субъектов, которые допускаются (не запрещены) законодательством и сами по себе не могут быть квалифицированы как нарушения обязательных требований, однако</w:t>
      </w:r>
      <w:r>
        <w:rPr>
          <w:rFonts w:ascii="Times New Roman" w:hAnsi="Times New Roman" w:cs="Times New Roman"/>
          <w:sz w:val="26"/>
          <w:szCs w:val="26"/>
        </w:rPr>
        <w:t xml:space="preserve"> наличие этих параметров свидетельствует о высокой вероятности уже совершенного или близящегося нарушения.  Для этого индикаторы риска должны основываться на результатах анализа причин рисков и обстоятельств реализации рисков, в том числе обстоятельств при</w:t>
      </w:r>
      <w:r>
        <w:rPr>
          <w:rFonts w:ascii="Times New Roman" w:hAnsi="Times New Roman" w:cs="Times New Roman"/>
          <w:sz w:val="26"/>
          <w:szCs w:val="26"/>
        </w:rPr>
        <w:t xml:space="preserve">чинения вреда охраняемым законом ценностям. 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определенной установленной законом правовой природы и цели индикаторов риска основные требования к их установлению и применению сводятся к следующим: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индикаторы риска не должны основываться на наруше</w:t>
      </w:r>
      <w:r>
        <w:rPr>
          <w:rFonts w:ascii="Times New Roman" w:hAnsi="Times New Roman" w:cs="Times New Roman"/>
          <w:sz w:val="26"/>
          <w:szCs w:val="26"/>
        </w:rPr>
        <w:t>ниях обязательных требований и не должны содержать основания для проведения внеплановых проверок, установленные Федеральным законом № 294-ФЗ и иными отраслевыми законами;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если возможность применения индикаторов риска предусмотрена положением о виде госу</w:t>
      </w:r>
      <w:r>
        <w:rPr>
          <w:rFonts w:ascii="Times New Roman" w:hAnsi="Times New Roman" w:cs="Times New Roman"/>
          <w:sz w:val="26"/>
          <w:szCs w:val="26"/>
        </w:rPr>
        <w:t>дарственного контроля (надзора), то выявленные при проведении мероприятий по контролю без взаимодействия с юридическими лицами, индивидуальными предпринимателями индикаторы риска являются безусловным основанием для проведения внеплановой проверки;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инди</w:t>
      </w:r>
      <w:r>
        <w:rPr>
          <w:rFonts w:ascii="Times New Roman" w:hAnsi="Times New Roman" w:cs="Times New Roman"/>
          <w:sz w:val="26"/>
          <w:szCs w:val="26"/>
        </w:rPr>
        <w:t>каторы должны быть разработаны на основе проведенного анализа сведений о фактах причинения вреда, причинах и обстоятельствах его возникновения;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показатели характеристик объектов государственного контроля (надзора), применяемые для индикаторов риска, дол</w:t>
      </w:r>
      <w:r>
        <w:rPr>
          <w:rFonts w:ascii="Times New Roman" w:hAnsi="Times New Roman" w:cs="Times New Roman"/>
          <w:sz w:val="26"/>
          <w:szCs w:val="26"/>
        </w:rPr>
        <w:t>жны иметь однозначно определяемое количественное значение или качественное выражение;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должна быть обеспечена возможность поддержания индикаторов риска в актуальном состоянии, то есть, возможность их регулярной̆ актуализации с учетом анализа сведений о ф</w:t>
      </w:r>
      <w:r>
        <w:rPr>
          <w:rFonts w:ascii="Times New Roman" w:hAnsi="Times New Roman" w:cs="Times New Roman"/>
          <w:sz w:val="26"/>
          <w:szCs w:val="26"/>
        </w:rPr>
        <w:t>актах причинения вреда и причинах его возникновения.</w:t>
      </w:r>
    </w:p>
    <w:p w:rsidR="00245CB5" w:rsidRDefault="00245CB5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pStyle w:val="3"/>
        <w:rPr>
          <w:rFonts w:ascii="Times New Roman" w:hAnsi="Times New Roman" w:cs="Times New Roman"/>
          <w:color w:val="auto"/>
          <w:sz w:val="26"/>
          <w:szCs w:val="26"/>
        </w:rPr>
      </w:pPr>
      <w:bookmarkStart w:id="15" w:name="_Toc792376"/>
      <w:r>
        <w:rPr>
          <w:rFonts w:ascii="Times New Roman" w:hAnsi="Times New Roman" w:cs="Times New Roman"/>
          <w:color w:val="auto"/>
          <w:sz w:val="26"/>
          <w:szCs w:val="26"/>
        </w:rPr>
        <w:t>1.3.7.  Мониторинг, повторный анализ и совершенствование процесса управления рисками</w:t>
      </w:r>
      <w:bookmarkEnd w:id="15"/>
    </w:p>
    <w:p w:rsidR="00245CB5" w:rsidRDefault="00245CB5"/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идентификации, анализа и ранжирования рисков, выбранные стратегии и меры реагирования на риск, содержание критериев и индикаторов риска не являются заданными раз и навсегда: управление рисками непрерывно и требует регулярного пересмотра. Поэтому</w:t>
      </w:r>
      <w:r>
        <w:rPr>
          <w:rFonts w:ascii="Times New Roman" w:hAnsi="Times New Roman" w:cs="Times New Roman"/>
          <w:sz w:val="26"/>
          <w:szCs w:val="26"/>
        </w:rPr>
        <w:t xml:space="preserve"> органы власти должны наладить процессы постоянного мониторинга, повторного анализа и совершенствования процесса риск-менеджмента.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такого пересмотра является определение динамики уровня защищенности охраняемых законом ценностей с учетом применения р</w:t>
      </w:r>
      <w:r>
        <w:rPr>
          <w:rFonts w:ascii="Times New Roman" w:hAnsi="Times New Roman" w:cs="Times New Roman"/>
          <w:sz w:val="26"/>
          <w:szCs w:val="26"/>
        </w:rPr>
        <w:t>иск-ориентированного подхода. Ведомству нужно получать ответы, как минимум, на следующие вопросы: насколько эффективны применяемые стратегии, меры и инструменты управления рисками для защиты охраняемых законом ценностей? снижается ли уровень риска в регули</w:t>
      </w:r>
      <w:r>
        <w:rPr>
          <w:rFonts w:ascii="Times New Roman" w:hAnsi="Times New Roman" w:cs="Times New Roman"/>
          <w:sz w:val="26"/>
          <w:szCs w:val="26"/>
        </w:rPr>
        <w:t xml:space="preserve">руемой сфере и каков вклад риск-менеджмента в это снижение? можно ли и каким образом снизить уровень риска, смягчить возможные негативные последствия для публично значимых благ, минимизируя при этом нагрузку на подконтрольных субъектов? 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 учетом  этого </w:t>
      </w:r>
      <w:r>
        <w:rPr>
          <w:rFonts w:ascii="Times New Roman" w:hAnsi="Times New Roman" w:cs="Times New Roman"/>
          <w:sz w:val="26"/>
          <w:szCs w:val="26"/>
        </w:rPr>
        <w:t xml:space="preserve">  задачами   мониторинга и пересмотра   процесса риск-менеджмента   являются: 1) установление причин реализовавшихся рисков, которые ранее были идентифицированы и для которых были выбраны и применены конкретные стратегии и меры реагирования; 2) установлени</w:t>
      </w:r>
      <w:r>
        <w:rPr>
          <w:rFonts w:ascii="Times New Roman" w:hAnsi="Times New Roman" w:cs="Times New Roman"/>
          <w:sz w:val="26"/>
          <w:szCs w:val="26"/>
        </w:rPr>
        <w:t>е причин возникновения непредвиденных событий, вследствие которых был причинен вред охраняемым законом ценностям, в том числе анализ возможности предвосхитить подобные события ранее; 3) совершенствование и (или) изменение используемых методов идентификации</w:t>
      </w:r>
      <w:r>
        <w:rPr>
          <w:rFonts w:ascii="Times New Roman" w:hAnsi="Times New Roman" w:cs="Times New Roman"/>
          <w:sz w:val="26"/>
          <w:szCs w:val="26"/>
        </w:rPr>
        <w:t xml:space="preserve"> и анализа рисков, стратегий и мер реагирования на риски, критериев и индикаторов риска.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проведенной аналитической работы ведомства совершенствуют процесс и инструментарий управления рисками. </w:t>
      </w:r>
    </w:p>
    <w:p w:rsidR="00245CB5" w:rsidRDefault="00245CB5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16" w:name="_Toc792377"/>
      <w:r>
        <w:rPr>
          <w:rFonts w:ascii="Times New Roman" w:hAnsi="Times New Roman" w:cs="Times New Roman"/>
          <w:sz w:val="26"/>
          <w:szCs w:val="26"/>
        </w:rPr>
        <w:t>1.4. Культура управления рисками</w:t>
      </w:r>
      <w:bookmarkEnd w:id="16"/>
    </w:p>
    <w:p w:rsidR="00245CB5" w:rsidRDefault="00245CB5">
      <w:pPr>
        <w:spacing w:after="0" w:line="312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Культура </w:t>
      </w:r>
      <w:r>
        <w:rPr>
          <w:rFonts w:ascii="Times New Roman" w:hAnsi="Times New Roman" w:cs="Times New Roman"/>
          <w:sz w:val="26"/>
          <w:szCs w:val="26"/>
        </w:rPr>
        <w:t xml:space="preserve">управления рисками представляет собой действующую на уровне каждого контрольно-надзорного органа и государственного механизма в целом систему разделяемых всеми сотрудниками мировоззренческих установок относительно стратегических целей деятельности органов </w:t>
      </w:r>
      <w:r>
        <w:rPr>
          <w:rFonts w:ascii="Times New Roman" w:hAnsi="Times New Roman" w:cs="Times New Roman"/>
          <w:sz w:val="26"/>
          <w:szCs w:val="26"/>
        </w:rPr>
        <w:t>власти и значимости применения риск-ориентированного подхода для их достижения. Наличие культуры делает процесс управления рисками осмысленным: сотрудники понимают и реализуют свой функционал в контексте целей контрольно-надзорных органов и ориентированы в</w:t>
      </w:r>
      <w:r>
        <w:rPr>
          <w:rFonts w:ascii="Times New Roman" w:hAnsi="Times New Roman" w:cs="Times New Roman"/>
          <w:sz w:val="26"/>
          <w:szCs w:val="26"/>
        </w:rPr>
        <w:t xml:space="preserve"> своей деятельности на достижение этих целей.</w:t>
      </w:r>
    </w:p>
    <w:p w:rsidR="00245CB5" w:rsidRDefault="00EF71C4">
      <w:pPr>
        <w:tabs>
          <w:tab w:val="left" w:pos="6656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Значимым элементом культуры управления рисками является открытость органов власти для всестороннего взаимодействия с обществом. Такое взаимодействие включает в себя как обмен информацией, необходимой для предуп</w:t>
      </w:r>
      <w:r>
        <w:rPr>
          <w:rFonts w:ascii="Times New Roman" w:hAnsi="Times New Roman" w:cs="Times New Roman"/>
          <w:sz w:val="26"/>
          <w:szCs w:val="26"/>
        </w:rPr>
        <w:t xml:space="preserve">реждения рисков, оценки и реагирования на них, так и публичную подотчетность органов власти по достижению/недостижению целей деятельности. </w:t>
      </w:r>
    </w:p>
    <w:p w:rsidR="00245CB5" w:rsidRDefault="00EF71C4">
      <w:pPr>
        <w:tabs>
          <w:tab w:val="left" w:pos="6656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Параметрами качества взаимодействия являются: (1) корректное, основанное на результатах анализа подконтрольной сферы</w:t>
      </w:r>
      <w:r>
        <w:rPr>
          <w:rFonts w:ascii="Times New Roman" w:hAnsi="Times New Roman" w:cs="Times New Roman"/>
          <w:sz w:val="26"/>
          <w:szCs w:val="26"/>
        </w:rPr>
        <w:t>, определение референтных групп,  релевантных им предметов и способов получения и донесения информации, (2) постоянство и оперативность взаимодействия, (3) понятность, лаконичность, доступный формат и достаточный объем передаваемой информации, (4) положите</w:t>
      </w:r>
      <w:r>
        <w:rPr>
          <w:rFonts w:ascii="Times New Roman" w:hAnsi="Times New Roman" w:cs="Times New Roman"/>
          <w:sz w:val="26"/>
          <w:szCs w:val="26"/>
        </w:rPr>
        <w:t>льная оценка референтными группами взаимодействия с органом власти.</w:t>
      </w:r>
    </w:p>
    <w:p w:rsidR="00245CB5" w:rsidRDefault="00EF71C4">
      <w:pPr>
        <w:tabs>
          <w:tab w:val="left" w:pos="6656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Публичная подотчетность органа власти предполагает, в первую очередь, открытое заявление о целях деятельности, планируемых способах и сроках их достижения, конкретных задачах, которые нужн</w:t>
      </w:r>
      <w:r>
        <w:rPr>
          <w:rFonts w:ascii="Times New Roman" w:hAnsi="Times New Roman" w:cs="Times New Roman"/>
          <w:sz w:val="26"/>
          <w:szCs w:val="26"/>
        </w:rPr>
        <w:t>о в этой связи разрешить. Для этого каждый контрольно-надзорный орган, в том числе размещает в открытом доступе публичную декларацию целей и задач.</w:t>
      </w:r>
    </w:p>
    <w:p w:rsidR="00245CB5" w:rsidRDefault="00EF71C4">
      <w:pPr>
        <w:tabs>
          <w:tab w:val="left" w:pos="6656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Другой стороной публичной подотчетности контрольно-надзорного органа  является регулярное предоставление общ</w:t>
      </w:r>
      <w:r>
        <w:rPr>
          <w:rFonts w:ascii="Times New Roman" w:hAnsi="Times New Roman" w:cs="Times New Roman"/>
          <w:sz w:val="26"/>
          <w:szCs w:val="26"/>
        </w:rPr>
        <w:t>ественности информации о достижении и недостижении целей его деятельности (с привидением соответствующих причин и изложением планов по их устранению). Такая информация отражается, в том числе в докладах контрольно-надзорных органов об осуществлении вида го</w:t>
      </w:r>
      <w:r>
        <w:rPr>
          <w:rFonts w:ascii="Times New Roman" w:hAnsi="Times New Roman" w:cs="Times New Roman"/>
          <w:sz w:val="26"/>
          <w:szCs w:val="26"/>
        </w:rPr>
        <w:t>сударственного контроля (надзора).</w:t>
      </w:r>
    </w:p>
    <w:p w:rsidR="00245CB5" w:rsidRDefault="00EF71C4">
      <w:pPr>
        <w:tabs>
          <w:tab w:val="left" w:pos="6656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 из главных внешних эффектов полноценной культуры управления рисками – это изменение традиционной парадигмы взаимоотношений контрольно-надзорных органов с подконтрольными субъектами и иными заинтересованными сторонами</w:t>
      </w:r>
      <w:r>
        <w:rPr>
          <w:rFonts w:ascii="Times New Roman" w:hAnsi="Times New Roman" w:cs="Times New Roman"/>
          <w:sz w:val="26"/>
          <w:szCs w:val="26"/>
        </w:rPr>
        <w:t>: и органы власти, и заинтересованные стороны понимают как общие и разделяют цели и задачи обеспечения безопасности охраняемых законом ценностей и содействия экономическому развитию, воспринимая друг друга в качестве союзников в достижении этих целей, а не</w:t>
      </w:r>
      <w:r>
        <w:rPr>
          <w:rFonts w:ascii="Times New Roman" w:hAnsi="Times New Roman" w:cs="Times New Roman"/>
          <w:sz w:val="26"/>
          <w:szCs w:val="26"/>
        </w:rPr>
        <w:t xml:space="preserve"> противников.</w:t>
      </w:r>
    </w:p>
    <w:p w:rsidR="00245CB5" w:rsidRDefault="00EF71C4">
      <w:pPr>
        <w:tabs>
          <w:tab w:val="left" w:pos="6656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и любая система ценностей, культура управления рисками формируется в органах власти через просвещение. Поэтому большое внимание следует уделять обучению сотрудников теории и практике управления рисками. </w:t>
      </w:r>
    </w:p>
    <w:p w:rsidR="00245CB5" w:rsidRDefault="00EF71C4">
      <w:pPr>
        <w:tabs>
          <w:tab w:val="left" w:pos="6656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 фундамент данной корпоратив</w:t>
      </w:r>
      <w:r>
        <w:rPr>
          <w:rFonts w:ascii="Times New Roman" w:hAnsi="Times New Roman" w:cs="Times New Roman"/>
          <w:sz w:val="26"/>
          <w:szCs w:val="26"/>
        </w:rPr>
        <w:t>ной культуры закладывается «сверху»: руководство должно понимать и доносить до сотрудников действительные цели деятельности органов власти,  ценность и значимость применения риск-ориентированного подхода для их достижения. При этом устное транслирование со</w:t>
      </w:r>
      <w:r>
        <w:rPr>
          <w:rFonts w:ascii="Times New Roman" w:hAnsi="Times New Roman" w:cs="Times New Roman"/>
          <w:sz w:val="26"/>
          <w:szCs w:val="26"/>
        </w:rPr>
        <w:t>ответствующей идеологии формализуется в основаниях индивидуального стимулирования и принятия кадровых решений.</w:t>
      </w:r>
    </w:p>
    <w:p w:rsidR="00245CB5" w:rsidRDefault="00245CB5">
      <w:pPr>
        <w:tabs>
          <w:tab w:val="left" w:pos="6656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tabs>
          <w:tab w:val="left" w:pos="6656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tabs>
          <w:tab w:val="left" w:pos="6656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17" w:name="_Toc792378"/>
      <w:r>
        <w:rPr>
          <w:rFonts w:ascii="Times New Roman" w:hAnsi="Times New Roman" w:cs="Times New Roman"/>
          <w:sz w:val="26"/>
          <w:szCs w:val="26"/>
        </w:rPr>
        <w:t>Система управления рисками в контрольно-надзорной деятельности.</w:t>
      </w:r>
      <w:bookmarkEnd w:id="17"/>
    </w:p>
    <w:p w:rsidR="00245CB5" w:rsidRDefault="00245CB5">
      <w:pPr>
        <w:pStyle w:val="afb"/>
      </w:pPr>
    </w:p>
    <w:p w:rsidR="00245CB5" w:rsidRDefault="00EF71C4">
      <w:pPr>
        <w:spacing w:after="0" w:line="312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18" w:name="_Toc792379"/>
      <w:r>
        <w:rPr>
          <w:rFonts w:ascii="Times New Roman" w:hAnsi="Times New Roman" w:cs="Times New Roman"/>
          <w:sz w:val="26"/>
          <w:szCs w:val="26"/>
        </w:rPr>
        <w:t>2.1 Общая характеристика системы управления рисками</w:t>
      </w:r>
      <w:bookmarkEnd w:id="18"/>
    </w:p>
    <w:p w:rsidR="00245CB5" w:rsidRDefault="00245CB5">
      <w:pPr>
        <w:spacing w:after="0" w:line="312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Ведомственная система </w:t>
      </w:r>
      <w:r>
        <w:rPr>
          <w:rFonts w:ascii="Times New Roman" w:hAnsi="Times New Roman" w:cs="Times New Roman"/>
          <w:sz w:val="26"/>
          <w:szCs w:val="26"/>
        </w:rPr>
        <w:t>управления рисками характеризует организационную и содержательную стороны деятельности контрольно-надзорного органа по управлению рисками. Ведомственная система управления рисками не является самостоятельной структурной, технической, функциональной или как</w:t>
      </w:r>
      <w:r>
        <w:rPr>
          <w:rFonts w:ascii="Times New Roman" w:hAnsi="Times New Roman" w:cs="Times New Roman"/>
          <w:sz w:val="26"/>
          <w:szCs w:val="26"/>
        </w:rPr>
        <w:t xml:space="preserve">ой-либо иной «надстройкой» в органе власти, поэтому вопрос формирования системы управления рисками – это вопрос обеспечения качественного соответствия ключевых параметров организации и осуществления деятельности органа власти критериям зрелости управления </w:t>
      </w:r>
      <w:r>
        <w:rPr>
          <w:rFonts w:ascii="Times New Roman" w:hAnsi="Times New Roman" w:cs="Times New Roman"/>
          <w:sz w:val="26"/>
          <w:szCs w:val="26"/>
        </w:rPr>
        <w:t>рисками.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учетом влияния таких параметров на процесс и результаты работы контрольно-надзорных  органов   выделяют   следующие   элементы   системы управления рисками: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цели и планирование;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данные;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процесс управления рисками;</w:t>
      </w:r>
    </w:p>
    <w:p w:rsidR="00245CB5" w:rsidRDefault="00EF71C4">
      <w:pPr>
        <w:tabs>
          <w:tab w:val="left" w:pos="348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инфраструктура.</w:t>
      </w:r>
    </w:p>
    <w:p w:rsidR="00245CB5" w:rsidRDefault="00EF71C4">
      <w:pPr>
        <w:tabs>
          <w:tab w:val="left" w:pos="6738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45CB5" w:rsidRDefault="00245CB5">
      <w:pPr>
        <w:tabs>
          <w:tab w:val="left" w:pos="348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tabs>
          <w:tab w:val="left" w:pos="34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87F88E6">
            <wp:extent cx="6365875" cy="2869565"/>
            <wp:effectExtent l="76200" t="0" r="34925" b="6985"/>
            <wp:docPr id="2" name="Diagram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45CB5" w:rsidRDefault="00245CB5">
      <w:pPr>
        <w:tabs>
          <w:tab w:val="left" w:pos="348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из перечисленных элементов является необходимым звеном системы, и заданная настоящим Стандартом последовательность элементов имеет условное значение, однако в то же время подчеркивает цепочки взаимосвязей и методологию создания ведомственной сис</w:t>
      </w:r>
      <w:r>
        <w:rPr>
          <w:rFonts w:ascii="Times New Roman" w:hAnsi="Times New Roman" w:cs="Times New Roman"/>
          <w:sz w:val="26"/>
          <w:szCs w:val="26"/>
        </w:rPr>
        <w:t xml:space="preserve">темы управления рисками, действительно направленной на снижение рисков и поддержание здоровой экономической среды в подконтрольной сфере.    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с учетом логики организации контрольно-надзорной деятельности на основании риск-ориентированного подхода для</w:t>
      </w:r>
      <w:r>
        <w:rPr>
          <w:rFonts w:ascii="Times New Roman" w:hAnsi="Times New Roman" w:cs="Times New Roman"/>
          <w:sz w:val="26"/>
          <w:szCs w:val="26"/>
        </w:rPr>
        <w:t xml:space="preserve"> формирования и развития ведомственной системы управления рисками, в первую очередь, следует акцентировать внимание и усилия органов на целеполагании и планировании контрольно-надзорной деятельности, поскольку эффективное и результативное  управление риска</w:t>
      </w:r>
      <w:r>
        <w:rPr>
          <w:rFonts w:ascii="Times New Roman" w:hAnsi="Times New Roman" w:cs="Times New Roman"/>
          <w:sz w:val="26"/>
          <w:szCs w:val="26"/>
        </w:rPr>
        <w:t>ми невозможно в условиях «случайного», не обоснованного рисками, определения общественно значимого результата и установления целевых значений и временных рамок его достижения. Необходимой фактической базой для определения целей, планирования, организации и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осуществления контрольно-надзорной деятельности служат данные, наборы, качество, источники, и способы получения которых –  краеугольный вопрос в обеспечении контрольно-надзорных органов относимыми, допустимыми и достаточными для управления рисками сведени</w:t>
      </w:r>
      <w:r>
        <w:rPr>
          <w:rFonts w:ascii="Times New Roman" w:hAnsi="Times New Roman" w:cs="Times New Roman"/>
          <w:sz w:val="26"/>
          <w:szCs w:val="26"/>
        </w:rPr>
        <w:t xml:space="preserve">ями. Процесс управления рисками – центральное звено ведомственной системы управления рисками, отражающее динамику внедрения и применения риск-ориентированного подхода, обоснованного реальными угрозами охраняемым законом ценностям и согласующегося с целями </w:t>
      </w:r>
      <w:r>
        <w:rPr>
          <w:rFonts w:ascii="Times New Roman" w:hAnsi="Times New Roman" w:cs="Times New Roman"/>
          <w:sz w:val="26"/>
          <w:szCs w:val="26"/>
        </w:rPr>
        <w:t>и задачами деятельности контрольно-надзорного органа. Следующим элементом ведомственной системы управления рисками определена инфраструктура, представляющая собой совокупность вспомогательных факторов организационного характера, обеспечивающих функциониров</w:t>
      </w:r>
      <w:r>
        <w:rPr>
          <w:rFonts w:ascii="Times New Roman" w:hAnsi="Times New Roman" w:cs="Times New Roman"/>
          <w:sz w:val="26"/>
          <w:szCs w:val="26"/>
        </w:rPr>
        <w:t>ание ведомственной системы управления рисками.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из элементов ведомственной системы управления рисками раскрывается через свои основные компоненты.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элемент «Цели и планирование» отражает проблематику обусловленности вида государственного контрол</w:t>
      </w:r>
      <w:r>
        <w:rPr>
          <w:rFonts w:ascii="Times New Roman" w:hAnsi="Times New Roman" w:cs="Times New Roman"/>
          <w:sz w:val="26"/>
          <w:szCs w:val="26"/>
        </w:rPr>
        <w:t>я (надзора) в целом и деятельности контрольно-надзорного органа целями обеспечения безопасности охраняемых законом ценностей, содействия экономическому развитию, а также результатами оценки рисков. Данный элемент включает  в себя следующие компоненты: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1) п</w:t>
      </w:r>
      <w:r>
        <w:rPr>
          <w:rFonts w:ascii="Times New Roman" w:hAnsi="Times New Roman" w:cs="Times New Roman"/>
          <w:sz w:val="26"/>
          <w:szCs w:val="26"/>
        </w:rPr>
        <w:t>ланирование деятельности органа власти,                                          2) управление целями.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Элемент «Данные» раскрывает концепцию принятия решений в связи с управлением рисками, а также необходимые качественные характеристики используемых данных</w:t>
      </w:r>
      <w:r>
        <w:rPr>
          <w:rFonts w:ascii="Times New Roman" w:hAnsi="Times New Roman" w:cs="Times New Roman"/>
          <w:sz w:val="26"/>
          <w:szCs w:val="26"/>
        </w:rPr>
        <w:t>, источники и способы их получения.  Поэтому в модели ведомственной системы управления рисками элемент  «Данные»  рассматривается   через  компоненты:   1) источники и качество данных, 2) обоснование решений.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Элемент «Процесс управления рисками» показывает</w:t>
      </w:r>
      <w:r>
        <w:rPr>
          <w:rFonts w:ascii="Times New Roman" w:hAnsi="Times New Roman" w:cs="Times New Roman"/>
          <w:sz w:val="26"/>
          <w:szCs w:val="26"/>
        </w:rPr>
        <w:t xml:space="preserve"> глубину и содержательные аспекты данного процесса в органе власти, уровень владения ведомством методологией и инструментарием управления рисками и степень контроля над рисками. Основными компонентами  элемента  являются: 1)  идентификация,   анализ   и  р</w:t>
      </w:r>
      <w:r>
        <w:rPr>
          <w:rFonts w:ascii="Times New Roman" w:hAnsi="Times New Roman" w:cs="Times New Roman"/>
          <w:sz w:val="26"/>
          <w:szCs w:val="26"/>
        </w:rPr>
        <w:t xml:space="preserve">анжирование  рисков; 2) реагирование на риски. </w:t>
      </w:r>
    </w:p>
    <w:p w:rsidR="00245CB5" w:rsidRDefault="00EF71C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Элемент «Инфраструктура» описывает качественное состояние ключевых вспомогательных факторов, обеспечивающих рациональную организацию и компетентное осуществление процесса управления рисками. В этой связи прин</w:t>
      </w:r>
      <w:r>
        <w:rPr>
          <w:rFonts w:ascii="Times New Roman" w:hAnsi="Times New Roman" w:cs="Times New Roman"/>
          <w:sz w:val="26"/>
          <w:szCs w:val="26"/>
        </w:rPr>
        <w:t>ципиальными являются вопросы полноты нормативно-правового регулирования деятельности контрольно-надзорных органов в связи с управлением рисками, квалификации кадрового состава, а также своевременной и полной методологической поддержки ведомства в управлени</w:t>
      </w:r>
      <w:r>
        <w:rPr>
          <w:rFonts w:ascii="Times New Roman" w:hAnsi="Times New Roman" w:cs="Times New Roman"/>
          <w:sz w:val="26"/>
          <w:szCs w:val="26"/>
        </w:rPr>
        <w:t>и  рисками.  Поэтому  данный  элемент  ведомственной системы управления рисками включает в себя компоненты: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1) регламентация управления рисками; 2) кадры; 3) экспертно-аналитическое сопровождение. </w:t>
      </w:r>
    </w:p>
    <w:p w:rsidR="00245CB5" w:rsidRDefault="00245CB5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45CB5" w:rsidRDefault="00EF71C4">
      <w:pPr>
        <w:spacing w:after="0" w:line="312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19" w:name="_Toc792380"/>
      <w:r>
        <w:rPr>
          <w:rFonts w:ascii="Times New Roman" w:hAnsi="Times New Roman" w:cs="Times New Roman"/>
          <w:sz w:val="26"/>
          <w:szCs w:val="26"/>
        </w:rPr>
        <w:t xml:space="preserve">2.2. Общая характеристика уровней зрелости ведомственной системы управления </w:t>
      </w:r>
      <w:bookmarkEnd w:id="19"/>
    </w:p>
    <w:p w:rsidR="00245CB5" w:rsidRDefault="00245CB5">
      <w:pPr>
        <w:spacing w:after="0" w:line="312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Способность органа власти эффективно снижать риски в подконтрольной сфере  и масштабы фактически причиняемого вреда охраняемым законом ценностям, не создавая при этом необоснован</w:t>
      </w:r>
      <w:r>
        <w:rPr>
          <w:rFonts w:ascii="Times New Roman" w:hAnsi="Times New Roman" w:cs="Times New Roman"/>
          <w:sz w:val="26"/>
          <w:szCs w:val="26"/>
        </w:rPr>
        <w:t xml:space="preserve">ных барьеров для экономического развития и роста, формально измеряется уровнем зрелости ведомственной системы управления рисками.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этапов качественного совершенствования характеристик элементов ведомственной системы управления рисками от стартовог</w:t>
      </w:r>
      <w:r>
        <w:rPr>
          <w:rFonts w:ascii="Times New Roman" w:hAnsi="Times New Roman" w:cs="Times New Roman"/>
          <w:sz w:val="26"/>
          <w:szCs w:val="26"/>
        </w:rPr>
        <w:t>о до целевого состояния можно выделить четыре уровня зрелости: 1) первый («стартовый»),  2) второй («аналитический»),  3) третий («интегрированный»),  4) четвертый  («продвинутый»).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Ввиду сложности структуры ведомственной системы управления рисками ее разв</w:t>
      </w:r>
      <w:r>
        <w:rPr>
          <w:rFonts w:ascii="Times New Roman" w:hAnsi="Times New Roman" w:cs="Times New Roman"/>
          <w:sz w:val="26"/>
          <w:szCs w:val="26"/>
        </w:rPr>
        <w:t xml:space="preserve">итие происходит постепенно, от уровня к уровню; переход на следующий уровень объективно возможен только при достижении предыдущего, при этом условием соответствия ведомственной системы управления рисками в целом конкретному уровню зрелости является полное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соответствие данному уровню каждого из элементов системы.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Важно подчеркнуть, что создание системы управления рисками, формально соответствующей какому-либо уровню зрелости, не должно становиться самоцелью для контрольно-надзорных органов; важным является </w:t>
      </w:r>
      <w:r>
        <w:rPr>
          <w:rFonts w:ascii="Times New Roman" w:hAnsi="Times New Roman" w:cs="Times New Roman"/>
          <w:sz w:val="26"/>
          <w:szCs w:val="26"/>
        </w:rPr>
        <w:t xml:space="preserve">получение и улучшение общественно значимого результата в виде минимизации рисков и ущерба с помощью мер, учитывающих экономические интересы подконтрольных субъектов и способствующих эффективному расходованию бюджетных средств.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Ниже приводятся общие характ</w:t>
      </w:r>
      <w:r>
        <w:rPr>
          <w:rFonts w:ascii="Times New Roman" w:hAnsi="Times New Roman" w:cs="Times New Roman"/>
          <w:sz w:val="26"/>
          <w:szCs w:val="26"/>
        </w:rPr>
        <w:t>еристики каждого уровня зрелости ведомственной системы управления рисками.</w:t>
      </w:r>
    </w:p>
    <w:p w:rsidR="00245CB5" w:rsidRDefault="00245CB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245CB5">
          <w:footerReference w:type="default" r:id="rId14"/>
          <w:pgSz w:w="11906" w:h="16838"/>
          <w:pgMar w:top="1440" w:right="566" w:bottom="567" w:left="1133" w:header="0" w:footer="0" w:gutter="0"/>
          <w:cols w:space="720"/>
          <w:formProt w:val="0"/>
          <w:docGrid w:linePitch="100" w:charSpace="4096"/>
        </w:sectPr>
      </w:pPr>
    </w:p>
    <w:tbl>
      <w:tblPr>
        <w:tblStyle w:val="aff"/>
        <w:tblpPr w:leftFromText="180" w:rightFromText="180" w:vertAnchor="page" w:horzAnchor="margin" w:tblpY="421"/>
        <w:tblW w:w="5000" w:type="pct"/>
        <w:tblLook w:val="04A0" w:firstRow="1" w:lastRow="0" w:firstColumn="1" w:lastColumn="0" w:noHBand="0" w:noVBand="1"/>
      </w:tblPr>
      <w:tblGrid>
        <w:gridCol w:w="3143"/>
        <w:gridCol w:w="3845"/>
        <w:gridCol w:w="3736"/>
        <w:gridCol w:w="3450"/>
      </w:tblGrid>
      <w:tr w:rsidR="00245CB5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5CB5" w:rsidRDefault="00245CB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5CB5" w:rsidRDefault="00245CB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5CB5" w:rsidRDefault="00245C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00B050"/>
          </w:tcPr>
          <w:p w:rsidR="00245CB5" w:rsidRDefault="00EF71C4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4</w:t>
            </w:r>
          </w:p>
          <w:p w:rsidR="00245CB5" w:rsidRDefault="00EF71C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Продвинутый</w:t>
            </w:r>
          </w:p>
        </w:tc>
      </w:tr>
      <w:tr w:rsidR="00245CB5">
        <w:trPr>
          <w:trHeight w:val="29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5CB5" w:rsidRDefault="00245CB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5CB5" w:rsidRDefault="00245CB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92D050"/>
              <w:right w:val="single" w:sz="4" w:space="0" w:color="00B050"/>
            </w:tcBorders>
            <w:shd w:val="clear" w:color="auto" w:fill="92D050"/>
          </w:tcPr>
          <w:p w:rsidR="00245CB5" w:rsidRDefault="00EF71C4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3</w:t>
            </w:r>
          </w:p>
          <w:p w:rsidR="00245CB5" w:rsidRDefault="00EF71C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Интегрированный</w:t>
            </w:r>
          </w:p>
        </w:tc>
        <w:tc>
          <w:tcPr>
            <w:tcW w:w="3397" w:type="dxa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 в подконтрольной сфере достигнут приемлемый уровень риска и ущерба;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проводится анализ вида контроля  (надзора) и иных возможных механизмов регулирования и внедряются те из них,  которые могут наилучшим образом обеспечить достижение целей;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внедрены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автоматизированные механизмы сбора, хранения и обработки данных, в том числе с помощью современных цифровых инструментов;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все решения по рискам обоснованы, в том числе данными, полученными с помощью современных цифровых инструментов;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полностью упреж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дающее в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ыявление рисков;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у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преждающее реагирование на все управляемые риски подконтрольной сферы, включая новые и возникающие;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к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лючевые требования к сотрудникам ведомства формируются с помощью автоматизированных систем;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а постоянной основе обеспеч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ивается системное экспертно-аналитическое сопровождение управления рисками.</w:t>
            </w:r>
          </w:p>
        </w:tc>
      </w:tr>
      <w:tr w:rsidR="00245CB5">
        <w:trPr>
          <w:trHeight w:val="317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5CB5" w:rsidRDefault="00245CB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FFFF00"/>
              <w:right w:val="single" w:sz="4" w:space="0" w:color="92D050"/>
            </w:tcBorders>
            <w:shd w:val="clear" w:color="auto" w:fill="FFFF00"/>
          </w:tcPr>
          <w:p w:rsidR="00245CB5" w:rsidRDefault="00EF71C4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2</w:t>
            </w:r>
          </w:p>
          <w:p w:rsidR="00245CB5" w:rsidRDefault="00EF71C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Аналитический</w:t>
            </w:r>
          </w:p>
        </w:tc>
        <w:tc>
          <w:tcPr>
            <w:tcW w:w="3679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00B050"/>
            </w:tcBorders>
            <w:shd w:val="clear" w:color="auto" w:fill="auto"/>
          </w:tcPr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 миссия, цели и задачи ведомства, показатели результативности и эффективности и их целевые значения полностью синхронизированы со стратегической целью и направлены на содействие экономическому развитию; </w:t>
            </w: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ind w:left="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качество данных подтверждено внешней экспертизой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решения по основным рискам обоснованы достаточным объемом данных, в том числе полученных с применением методов работы с большими данными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45CB5" w:rsidRDefault="00245CB5">
            <w:pPr>
              <w:spacing w:line="288" w:lineRule="auto"/>
              <w:ind w:left="3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ind w:left="36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в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ыстроен процесс управления основными рисками подконтрольной сферы;</w:t>
            </w:r>
          </w:p>
          <w:p w:rsidR="00245CB5" w:rsidRDefault="00245CB5">
            <w:pPr>
              <w:spacing w:line="288" w:lineRule="auto"/>
              <w:ind w:left="36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ind w:left="36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- преимущественно упреждающее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реагирование на основные риски;</w:t>
            </w:r>
          </w:p>
          <w:p w:rsidR="00245CB5" w:rsidRDefault="00245CB5">
            <w:pPr>
              <w:spacing w:line="288" w:lineRule="auto"/>
              <w:ind w:left="36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312" w:lineRule="auto"/>
              <w:ind w:left="3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правовое регулирование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корректируется, в том числе с учетом развития  технологий; </w:t>
            </w:r>
          </w:p>
          <w:p w:rsidR="00245CB5" w:rsidRDefault="00245CB5">
            <w:pPr>
              <w:spacing w:after="0" w:line="312" w:lineRule="auto"/>
              <w:ind w:left="36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ind w:left="36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- все сотрудники ведомства прошли обучение управлению рисками, обладают знаниями и навыками;</w:t>
            </w:r>
          </w:p>
          <w:p w:rsidR="00245CB5" w:rsidRDefault="00245CB5">
            <w:pPr>
              <w:spacing w:line="288" w:lineRule="auto"/>
              <w:ind w:left="36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ind w:left="36"/>
              <w:contextualSpacing/>
              <w:jc w:val="both"/>
              <w:rPr>
                <w:sz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- регулярное привлечение экспертной поддерж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ки для организации и осуществления управления рисками.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:rsidR="00245CB5" w:rsidRDefault="00245CB5">
            <w:pPr>
              <w:spacing w:after="0" w:line="240" w:lineRule="auto"/>
              <w:rPr>
                <w:sz w:val="20"/>
              </w:rPr>
            </w:pPr>
          </w:p>
        </w:tc>
      </w:tr>
      <w:tr w:rsidR="00245CB5">
        <w:trPr>
          <w:trHeight w:val="170"/>
        </w:trPr>
        <w:tc>
          <w:tcPr>
            <w:tcW w:w="3095" w:type="dxa"/>
            <w:tcBorders>
              <w:top w:val="nil"/>
              <w:left w:val="nil"/>
              <w:bottom w:val="single" w:sz="4" w:space="0" w:color="FFC000"/>
              <w:right w:val="single" w:sz="4" w:space="0" w:color="FFFF00"/>
            </w:tcBorders>
            <w:shd w:val="clear" w:color="auto" w:fill="FFC000"/>
          </w:tcPr>
          <w:p w:rsidR="00245CB5" w:rsidRDefault="00EF71C4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1</w:t>
            </w:r>
          </w:p>
          <w:p w:rsidR="00245CB5" w:rsidRDefault="00EF71C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Стартовый</w:t>
            </w:r>
          </w:p>
        </w:tc>
        <w:tc>
          <w:tcPr>
            <w:tcW w:w="3786" w:type="dxa"/>
            <w:vMerge w:val="restart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auto"/>
          </w:tcPr>
          <w:p w:rsidR="00245CB5" w:rsidRDefault="00EF71C4">
            <w:pPr>
              <w:spacing w:after="0" w:line="288" w:lineRule="auto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стратегическая цель закреплена в доку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ментах стратегического планирования;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ли и задачи ведомства  интерпретированы в показатели результативности и эффективности</w:t>
            </w:r>
          </w:p>
          <w:p w:rsidR="00245CB5" w:rsidRDefault="00245CB5">
            <w:pPr>
              <w:spacing w:after="0" w:line="288" w:lineRule="auto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определены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наборы данных, 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мых и достаточных для управления риска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ми;</w:t>
            </w:r>
          </w:p>
          <w:p w:rsidR="00245CB5" w:rsidRDefault="00245CB5">
            <w:pPr>
              <w:spacing w:after="0" w:line="288" w:lineRule="auto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ind w:left="113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в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ыстроен процесс управления наиболее опасными рисками;</w:t>
            </w:r>
          </w:p>
          <w:p w:rsidR="00245CB5" w:rsidRDefault="00245CB5">
            <w:pPr>
              <w:spacing w:line="288" w:lineRule="auto"/>
              <w:ind w:left="113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ind w:left="113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- реагирование в основном на реализовавшиеся риск;</w:t>
            </w:r>
          </w:p>
          <w:p w:rsidR="00245CB5" w:rsidRDefault="00245CB5">
            <w:pPr>
              <w:spacing w:line="288" w:lineRule="auto"/>
              <w:ind w:left="113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ind w:left="113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- правовое регулирование позволяет сбалансировать целеполагание ведомства;</w:t>
            </w:r>
          </w:p>
          <w:p w:rsidR="00245CB5" w:rsidRDefault="00245CB5">
            <w:pPr>
              <w:spacing w:line="288" w:lineRule="auto"/>
              <w:ind w:left="113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ind w:left="113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- сотрудники, участвующие в управлении рисками, обладают необходимыми для этого знаниями и навыками; необходи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softHyphen/>
              <w:t>мыми для управления рисками;</w:t>
            </w:r>
          </w:p>
          <w:p w:rsidR="00245CB5" w:rsidRDefault="00245CB5">
            <w:pPr>
              <w:spacing w:line="288" w:lineRule="auto"/>
              <w:ind w:left="113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ind w:left="113"/>
              <w:contextualSpacing/>
              <w:jc w:val="both"/>
              <w:rPr>
                <w:sz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- периодически, для выстраивания процесса управления рисками, привлекаются эксперты.</w:t>
            </w:r>
          </w:p>
        </w:tc>
        <w:tc>
          <w:tcPr>
            <w:tcW w:w="3679" w:type="dxa"/>
            <w:vMerge/>
            <w:tcBorders>
              <w:top w:val="nil"/>
              <w:left w:val="single" w:sz="4" w:space="0" w:color="FFFF00"/>
              <w:bottom w:val="single" w:sz="4" w:space="0" w:color="92D050"/>
              <w:right w:val="single" w:sz="4" w:space="0" w:color="00B050"/>
            </w:tcBorders>
            <w:shd w:val="clear" w:color="auto" w:fill="auto"/>
          </w:tcPr>
          <w:p w:rsidR="00245CB5" w:rsidRDefault="00245CB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:rsidR="00245CB5" w:rsidRDefault="00245CB5">
            <w:pPr>
              <w:spacing w:after="0" w:line="240" w:lineRule="auto"/>
              <w:rPr>
                <w:sz w:val="20"/>
              </w:rPr>
            </w:pPr>
          </w:p>
        </w:tc>
      </w:tr>
      <w:tr w:rsidR="00245CB5">
        <w:tc>
          <w:tcPr>
            <w:tcW w:w="309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FF00"/>
            </w:tcBorders>
            <w:shd w:val="clear" w:color="auto" w:fill="auto"/>
          </w:tcPr>
          <w:p w:rsidR="00245CB5" w:rsidRDefault="00EF71C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 вид контроля (надзора)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обоснован наличием стратегической цели обеспечения безопасности;</w:t>
            </w:r>
          </w:p>
          <w:p w:rsidR="00245CB5" w:rsidRDefault="00245CB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 используемые данные достаточны лишь для обоснования операционных решений; качество данных не проверяется; </w:t>
            </w: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п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роцесс управления рисками не реализуется, только выстраиваются его отдельные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этапы и элементы;</w:t>
            </w: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реагирование осуществляется на уже реализовавшиеся события, повлекшие причинение вреда;</w:t>
            </w: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правовое регулирование достаточно для реализации основных этапов управления рисками;</w:t>
            </w: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отдельные сотрудники обучены управлению рисками;</w:t>
            </w: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contextualSpacing/>
              <w:jc w:val="both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 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рамках отдельных мероприятий, связанных с управлением рисками, эпизодически привлекаются эксперты.</w:t>
            </w:r>
          </w:p>
        </w:tc>
        <w:tc>
          <w:tcPr>
            <w:tcW w:w="3786" w:type="dxa"/>
            <w:vMerge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auto"/>
          </w:tcPr>
          <w:p w:rsidR="00245CB5" w:rsidRDefault="00245CB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79" w:type="dxa"/>
            <w:vMerge/>
            <w:tcBorders>
              <w:top w:val="nil"/>
              <w:left w:val="single" w:sz="4" w:space="0" w:color="FFFF00"/>
              <w:bottom w:val="single" w:sz="4" w:space="0" w:color="92D050"/>
              <w:right w:val="single" w:sz="4" w:space="0" w:color="00B050"/>
            </w:tcBorders>
            <w:shd w:val="clear" w:color="auto" w:fill="auto"/>
          </w:tcPr>
          <w:p w:rsidR="00245CB5" w:rsidRDefault="00245CB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:rsidR="00245CB5" w:rsidRDefault="00245CB5">
            <w:pPr>
              <w:spacing w:after="0" w:line="240" w:lineRule="auto"/>
              <w:rPr>
                <w:sz w:val="20"/>
              </w:rPr>
            </w:pPr>
          </w:p>
        </w:tc>
      </w:tr>
    </w:tbl>
    <w:p w:rsidR="00245CB5" w:rsidRDefault="00245CB5">
      <w:pPr>
        <w:tabs>
          <w:tab w:val="left" w:pos="1107"/>
        </w:tabs>
        <w:rPr>
          <w:rFonts w:ascii="Times New Roman" w:hAnsi="Times New Roman" w:cs="Times New Roman"/>
          <w:sz w:val="26"/>
          <w:szCs w:val="26"/>
        </w:rPr>
        <w:sectPr w:rsidR="00245CB5">
          <w:footerReference w:type="default" r:id="rId15"/>
          <w:pgSz w:w="16838" w:h="11906" w:orient="landscape"/>
          <w:pgMar w:top="566" w:right="1440" w:bottom="1133" w:left="1440" w:header="0" w:footer="0" w:gutter="0"/>
          <w:cols w:space="720"/>
          <w:formProt w:val="0"/>
          <w:docGrid w:linePitch="299" w:charSpace="4096"/>
        </w:sectPr>
      </w:pPr>
    </w:p>
    <w:p w:rsidR="00245CB5" w:rsidRDefault="00EF71C4">
      <w:pPr>
        <w:spacing w:after="0" w:line="312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Первый  («стартовый») уровень</w:t>
      </w:r>
    </w:p>
    <w:p w:rsidR="00245CB5" w:rsidRDefault="00245CB5">
      <w:pPr>
        <w:spacing w:after="0" w:line="312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Данный уровень задает базовые качественные параметры ведомственной системы </w:t>
      </w:r>
      <w:r>
        <w:rPr>
          <w:rFonts w:ascii="Times New Roman" w:hAnsi="Times New Roman" w:cs="Times New Roman"/>
          <w:sz w:val="26"/>
          <w:szCs w:val="26"/>
        </w:rPr>
        <w:t>управления рисками, требуя реализации комплекса целенаправленных мер, описывает допустимое текущее состояние и закрепляет первые «достижения» органа власти в управлении рисками. Результат соответствия зрелости ведомственной системы управления рисками перво</w:t>
      </w:r>
      <w:r>
        <w:rPr>
          <w:rFonts w:ascii="Times New Roman" w:hAnsi="Times New Roman" w:cs="Times New Roman"/>
          <w:sz w:val="26"/>
          <w:szCs w:val="26"/>
        </w:rPr>
        <w:t>му уровню характеризуется наличием минимально необходимого правового, организационного, методологического и материально-технического фундамента для выстраивания процесса управления рисками.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частности, первый уровень зрелости предполагает, что вид государственного контроля (надзора) имеет определенный целевой и нормативный базис.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значит, что вид контроля (надзора) должен быть обоснован стратегической целью, которая на данном этапе может</w:t>
      </w:r>
      <w:r>
        <w:rPr>
          <w:rFonts w:ascii="Times New Roman" w:hAnsi="Times New Roman" w:cs="Times New Roman"/>
          <w:sz w:val="26"/>
          <w:szCs w:val="26"/>
        </w:rPr>
        <w:t xml:space="preserve"> быть еще не сформулирована однозначно в документах стратегического планирования, однако должна четко пониматься и контрольно-надзорным органом, и вышестоящими органами власти, и обществом. Недопустимы ситуации, при которых государственный контроль (надзор</w:t>
      </w:r>
      <w:r>
        <w:rPr>
          <w:rFonts w:ascii="Times New Roman" w:hAnsi="Times New Roman" w:cs="Times New Roman"/>
          <w:sz w:val="26"/>
          <w:szCs w:val="26"/>
        </w:rPr>
        <w:t>) имеет под собой только формальные основания: в отсутствие защищаемых им общественно значимых благ отсутствуют риски, которые следует контролировать (а это означает также, что возникающая в результате осуществления контроля (надзора) нагрузка на подконтро</w:t>
      </w:r>
      <w:r>
        <w:rPr>
          <w:rFonts w:ascii="Times New Roman" w:hAnsi="Times New Roman" w:cs="Times New Roman"/>
          <w:sz w:val="26"/>
          <w:szCs w:val="26"/>
        </w:rPr>
        <w:t xml:space="preserve">льную среду и бюджет, не оправданы). Формирование системы управления рисками для подобных видов контроля (надзора) не имеет смысла; они нуждаются в оптимизации, включая случаи упразднения.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Формализация стратегической цели на данном уровне осуществляется п</w:t>
      </w:r>
      <w:r>
        <w:rPr>
          <w:rFonts w:ascii="Times New Roman" w:hAnsi="Times New Roman" w:cs="Times New Roman"/>
          <w:sz w:val="26"/>
          <w:szCs w:val="26"/>
        </w:rPr>
        <w:t>утем закрепления соответствующей ей миссии, целей и задач ведомства в публичной декларации целей и задач.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организация и осуществление вида контроля (надзора) должны быть  формализованы в федеральном законе, положении о виде государственного контроля </w:t>
      </w:r>
      <w:r>
        <w:rPr>
          <w:rFonts w:ascii="Times New Roman" w:hAnsi="Times New Roman" w:cs="Times New Roman"/>
          <w:sz w:val="26"/>
          <w:szCs w:val="26"/>
        </w:rPr>
        <w:t>(надзора), административном регламенте осуществления вида государственного контроля (надзора) и/или иных аналогичных документах, предусмотренных действующим законодательством, а также в ведомственных нормативных правовых актах, таким образом, чтобы соответ</w:t>
      </w:r>
      <w:r>
        <w:rPr>
          <w:rFonts w:ascii="Times New Roman" w:hAnsi="Times New Roman" w:cs="Times New Roman"/>
          <w:sz w:val="26"/>
          <w:szCs w:val="26"/>
        </w:rPr>
        <w:t>ствующая нормативная база, в том числе позволяла определять и формулировать целеполагание контрольно-надзорного органа, осуществлять сбор, обработку и хранение, проверку качества необходимых для управления рисками данных, выявлять, анализировать и ранжиров</w:t>
      </w:r>
      <w:r>
        <w:rPr>
          <w:rFonts w:ascii="Times New Roman" w:hAnsi="Times New Roman" w:cs="Times New Roman"/>
          <w:sz w:val="26"/>
          <w:szCs w:val="26"/>
        </w:rPr>
        <w:t xml:space="preserve">ать  риски, утверждать критерии, индикаторы риска,  реагировать на риски с помощью предусмотренных законодательством мер и инструментов.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ввиду неразвитости в ведомстве культуры управления рисками на первом уровне зрелости и отсутствия четкого пон</w:t>
      </w:r>
      <w:r>
        <w:rPr>
          <w:rFonts w:ascii="Times New Roman" w:hAnsi="Times New Roman" w:cs="Times New Roman"/>
          <w:sz w:val="26"/>
          <w:szCs w:val="26"/>
        </w:rPr>
        <w:t>имания миссии, целей и задач контрольно-надзорного органа текущая деятельность слабо синхронизирована (или не синхронизирована вообще) со стратегическими целями органа власти: стратегические цели не воспринимаются как фактор организации и осуществления дея</w:t>
      </w:r>
      <w:r>
        <w:rPr>
          <w:rFonts w:ascii="Times New Roman" w:hAnsi="Times New Roman" w:cs="Times New Roman"/>
          <w:sz w:val="26"/>
          <w:szCs w:val="26"/>
        </w:rPr>
        <w:t>тельности, управление рисками еще не рассматривается сотрудниками ведомства как инструмент достижения этих целей, и контрольные и профилактические мероприятия, а также публичное раскрытие информации о деятельности органа власти осуществляются ввиду действи</w:t>
      </w:r>
      <w:r>
        <w:rPr>
          <w:rFonts w:ascii="Times New Roman" w:hAnsi="Times New Roman" w:cs="Times New Roman"/>
          <w:sz w:val="26"/>
          <w:szCs w:val="26"/>
        </w:rPr>
        <w:t>я формальных требований.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 рисками, как таковая, еще не проводится: отсутствует комплексное понимание рисков, имеющихся в подконтрольной сфере, причин их возникновения и вероятности реализации. На первом уровне контрольно-надзорные органы фокусируют</w:t>
      </w:r>
      <w:r>
        <w:rPr>
          <w:rFonts w:ascii="Times New Roman" w:hAnsi="Times New Roman" w:cs="Times New Roman"/>
          <w:sz w:val="26"/>
          <w:szCs w:val="26"/>
        </w:rPr>
        <w:t>ся на вреде, причиненном охраняемым законом ценностям, и обстоятельствах его возникновения, акцентируя внимание на причинно-следственной связи между произошедшим событиями и фактами возникновения ущерба.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 уже на данном этапе ведомства предпринимают м</w:t>
      </w:r>
      <w:r>
        <w:rPr>
          <w:rFonts w:ascii="Times New Roman" w:hAnsi="Times New Roman" w:cs="Times New Roman"/>
          <w:sz w:val="26"/>
          <w:szCs w:val="26"/>
        </w:rPr>
        <w:t>еры, направленные на реализацию риск-ориентированного подхода.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на первом уровне зрелости ведомства должны идентифицировать основные риски в своей сфере. Речь идет о наиболее опасных и очевидных рисках, которые несложно выявить, проанализировав ранее п</w:t>
      </w:r>
      <w:r>
        <w:rPr>
          <w:rFonts w:ascii="Times New Roman" w:hAnsi="Times New Roman" w:cs="Times New Roman"/>
          <w:sz w:val="26"/>
          <w:szCs w:val="26"/>
        </w:rPr>
        <w:t xml:space="preserve">роизошедшие события в подконтрольной сфере, повлекшие причинение вреда охраняемым законом ценностям.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поскольку одна из основных причин недостижения общественно значимого результата контрольно-надзорной деятельности –  отсутствие у органов влас</w:t>
      </w:r>
      <w:r>
        <w:rPr>
          <w:rFonts w:ascii="Times New Roman" w:hAnsi="Times New Roman" w:cs="Times New Roman"/>
          <w:sz w:val="26"/>
          <w:szCs w:val="26"/>
        </w:rPr>
        <w:t>ти данных, необходимых и достаточных для контроля рисков причинения вреда охраняемым законом ценностям, ведомства должны сфокусироваться на обосновании реализуемых ими мероприятий по контролю и по профилактике, иной текущей правоприменительной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, инструментария управления рисками достаточными данными. 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обеспечения качества используемых данных проводится первичный анализ имеющихся у ведомства данных и недостающих данных, требующихся с учетом специфики подконтрольной сферы, анализ возможны</w:t>
      </w:r>
      <w:r>
        <w:rPr>
          <w:rFonts w:ascii="Times New Roman" w:hAnsi="Times New Roman" w:cs="Times New Roman"/>
          <w:sz w:val="26"/>
          <w:szCs w:val="26"/>
        </w:rPr>
        <w:t>х источников этих данных могут доступа ведомства к тем или иным источникам. В частности, должно быть хорошо скоординировано межведомственное взаимодействие на предмет обмена данными, имеющимися в распоряжении органов власти и необходимыми для управления ри</w:t>
      </w:r>
      <w:r>
        <w:rPr>
          <w:rFonts w:ascii="Times New Roman" w:hAnsi="Times New Roman" w:cs="Times New Roman"/>
          <w:sz w:val="26"/>
          <w:szCs w:val="26"/>
        </w:rPr>
        <w:t>сками.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результатов первичного анализа случаев причинения вреда охраняемым законом ценностям и основных обстоятельств его возникновения, а также с учетом понимания структуры подконтрольной среды, формализованной в реестре подконтрольных субъект</w:t>
      </w:r>
      <w:r>
        <w:rPr>
          <w:rFonts w:ascii="Times New Roman" w:hAnsi="Times New Roman" w:cs="Times New Roman"/>
          <w:sz w:val="26"/>
          <w:szCs w:val="26"/>
        </w:rPr>
        <w:t>ов (объектов), разрабатываются критерии риска. Начиная с первого уровня зрелости, все плановые мероприятия по контролю проводятся исходя из отнесения подконтрольных субъектов к той или иной категории риска.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Реагирование на реализовавшиеся события, повлекши</w:t>
      </w:r>
      <w:r>
        <w:rPr>
          <w:rFonts w:ascii="Times New Roman" w:hAnsi="Times New Roman" w:cs="Times New Roman"/>
          <w:sz w:val="26"/>
          <w:szCs w:val="26"/>
        </w:rPr>
        <w:t>е или могущие повлечь причинение вреда охраняемым законом ценностям, на данном этапе носит реакционный характер и сводится, как правило к проведению внеплановых мероприятий по контролю, ликвидации наступивших вредных последствий, и/или впоследствии – к ини</w:t>
      </w:r>
      <w:r>
        <w:rPr>
          <w:rFonts w:ascii="Times New Roman" w:hAnsi="Times New Roman" w:cs="Times New Roman"/>
          <w:sz w:val="26"/>
          <w:szCs w:val="26"/>
        </w:rPr>
        <w:t xml:space="preserve">циированию  ужесточения обязательных требований.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 же время при внеплановых мероприятий по контролю ведомства должны исходить из их обоснованности объективными данными о причинении вреда охраняемым законом ценностям или о реальной угрозе его причинения</w:t>
      </w:r>
      <w:r>
        <w:rPr>
          <w:rFonts w:ascii="Times New Roman" w:hAnsi="Times New Roman" w:cs="Times New Roman"/>
          <w:sz w:val="26"/>
          <w:szCs w:val="26"/>
        </w:rPr>
        <w:t xml:space="preserve">. В связи со свойственной первому уровню слабости аналитической работы с рисками, задача по разработке индикаторов риска перед ведомствами пока не ставится.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Внутриведомственную координацию работы с рисками осуществляет специально формируемый рабочий орган</w:t>
      </w:r>
      <w:r>
        <w:rPr>
          <w:rFonts w:ascii="Times New Roman" w:hAnsi="Times New Roman" w:cs="Times New Roman"/>
          <w:sz w:val="26"/>
          <w:szCs w:val="26"/>
        </w:rPr>
        <w:t xml:space="preserve"> (координационный орган),  в функционал входят обсуждение планирования деятельности ведомства по управлению рисками и ее результатов.  В частности, координационный орган  рассматривает результаты применения контрольных и профилактических мероприятий, напра</w:t>
      </w:r>
      <w:r>
        <w:rPr>
          <w:rFonts w:ascii="Times New Roman" w:hAnsi="Times New Roman" w:cs="Times New Roman"/>
          <w:sz w:val="26"/>
          <w:szCs w:val="26"/>
        </w:rPr>
        <w:t>вленных на снижение ущерба в подконтрольной сфере, в  том числе доклады о правоприменительной практике контрольно-надзорного органа и отчеты об осуществлении вида государственного контроля (надзора).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определяются сотрудники контрольно-надзорного орга</w:t>
      </w:r>
      <w:r>
        <w:rPr>
          <w:rFonts w:ascii="Times New Roman" w:hAnsi="Times New Roman" w:cs="Times New Roman"/>
          <w:sz w:val="26"/>
          <w:szCs w:val="26"/>
        </w:rPr>
        <w:t xml:space="preserve">на для участия в управлении рисками. Такие сотрудники проходят обучение управлению рисками, что является залогом, в том числе формирования соответствующей ведомственной культуры. </w:t>
      </w:r>
    </w:p>
    <w:p w:rsidR="00245CB5" w:rsidRDefault="00245CB5">
      <w:pPr>
        <w:spacing w:after="0" w:line="312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Второй («аналитический») уровень</w:t>
      </w:r>
    </w:p>
    <w:p w:rsidR="00245CB5" w:rsidRDefault="00EF71C4">
      <w:pPr>
        <w:spacing w:after="0" w:line="31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данной стадии развития ведомственной с</w:t>
      </w:r>
      <w:r>
        <w:rPr>
          <w:rFonts w:ascii="Times New Roman" w:hAnsi="Times New Roman" w:cs="Times New Roman"/>
          <w:sz w:val="26"/>
          <w:szCs w:val="26"/>
        </w:rPr>
        <w:t>истемы управления рисками ключевые параметры организации и осуществления контрольно-надзорной функции настраиваются под осознанное управление рисками в условиях оптимального, неизбыточного воздействия на экономическую деятельность подконтрольных субъектов.</w:t>
      </w:r>
      <w:r>
        <w:rPr>
          <w:rFonts w:ascii="Times New Roman" w:hAnsi="Times New Roman" w:cs="Times New Roman"/>
          <w:sz w:val="26"/>
          <w:szCs w:val="26"/>
        </w:rPr>
        <w:t xml:space="preserve"> Достижение второго уровня зрелости означает, что деятельность контрольно-надзорного органа направлена на реализацию стратегических целей подконтрольной сферы с учетом развития технологий и законодательства. </w:t>
      </w:r>
    </w:p>
    <w:p w:rsidR="00245CB5" w:rsidRDefault="00EF71C4">
      <w:pPr>
        <w:spacing w:after="0" w:line="31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Целеполагание контрольно-надзорного органа обр</w:t>
      </w:r>
      <w:r>
        <w:rPr>
          <w:rFonts w:ascii="Times New Roman" w:hAnsi="Times New Roman" w:cs="Times New Roman"/>
          <w:sz w:val="26"/>
          <w:szCs w:val="26"/>
        </w:rPr>
        <w:t>етает четкую форму: стратегическая цель зафиксирована в документах стратегического планирования, с ней полностью синхронизированы миссия, цели и задачи ведомства, цели органа власти интерпретированы в «верхнеуровневые» (группы «А» и «Б») показатели результ</w:t>
      </w:r>
      <w:r>
        <w:rPr>
          <w:rFonts w:ascii="Times New Roman" w:hAnsi="Times New Roman" w:cs="Times New Roman"/>
          <w:sz w:val="26"/>
          <w:szCs w:val="26"/>
        </w:rPr>
        <w:t xml:space="preserve">ативности и эффективности и их целевые значения, которые, в свою очередь, дифференцированы в зависимости от наиболее опасных рисков. </w:t>
      </w:r>
    </w:p>
    <w:p w:rsidR="00245CB5" w:rsidRDefault="00EF71C4">
      <w:pPr>
        <w:spacing w:after="0" w:line="31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Нормативно-правовое регулирование управления рисками развивается и фиксирует, в том числе особенности изменения целевых з</w:t>
      </w:r>
      <w:r>
        <w:rPr>
          <w:rFonts w:ascii="Times New Roman" w:hAnsi="Times New Roman" w:cs="Times New Roman"/>
          <w:sz w:val="26"/>
          <w:szCs w:val="26"/>
        </w:rPr>
        <w:t>начений показателей результативности и эффективности в зависимости от стратегических целей контрольно-надзорного органа, усложняющийся инструментарий управления рисками и его применение, механизмы определения и реализации стратегий и мер реагирования на ри</w:t>
      </w:r>
      <w:r>
        <w:rPr>
          <w:rFonts w:ascii="Times New Roman" w:hAnsi="Times New Roman" w:cs="Times New Roman"/>
          <w:sz w:val="26"/>
          <w:szCs w:val="26"/>
        </w:rPr>
        <w:t>ски, вопросы верификации наборов данных, применения автоматизированных систем сбора, обработки, хранения и проверки  данных и их источников.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отличие от первого уровня зрелости, фиксация и анализ случаев причинения вреда охраняемым законом ценностям перес</w:t>
      </w:r>
      <w:r>
        <w:rPr>
          <w:rFonts w:ascii="Times New Roman" w:hAnsi="Times New Roman" w:cs="Times New Roman"/>
          <w:sz w:val="26"/>
          <w:szCs w:val="26"/>
        </w:rPr>
        <w:t>тают быть самоцелью, но переходят в разряд неотъемлемой вспомогательной работы в рамках оценки рисков и осуществляются постоянно.   Контрольно-надзорные органы, в первую очередь, сосредоточиваются на реализовавшихся событиях, которые повлекли или могут пов</w:t>
      </w:r>
      <w:r>
        <w:rPr>
          <w:rFonts w:ascii="Times New Roman" w:hAnsi="Times New Roman" w:cs="Times New Roman"/>
          <w:sz w:val="26"/>
          <w:szCs w:val="26"/>
        </w:rPr>
        <w:t xml:space="preserve">лечь значительный ущерб защищаемым публично значимым благам. Результаты оценки риска становятся ключевым фактором организации и осуществления контрольных и профилактических мероприятий. 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частности, на втором уровне зрелости ведомственной системы управле</w:t>
      </w:r>
      <w:r>
        <w:rPr>
          <w:rFonts w:ascii="Times New Roman" w:hAnsi="Times New Roman" w:cs="Times New Roman"/>
          <w:sz w:val="26"/>
          <w:szCs w:val="26"/>
        </w:rPr>
        <w:t>ния рисками ведомства выявляют и анализируют существующие в подконтрольной сфере риски причинения вреда охраняемым законом ценностям, опираясь на ранее произошедшие события. Выявление и оценка новых и возникающих рисков пока еще не является обязательной ха</w:t>
      </w:r>
      <w:r>
        <w:rPr>
          <w:rFonts w:ascii="Times New Roman" w:hAnsi="Times New Roman" w:cs="Times New Roman"/>
          <w:sz w:val="26"/>
          <w:szCs w:val="26"/>
        </w:rPr>
        <w:t xml:space="preserve">рактеристикой процесса управления рисками.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 наиболее опасными рисками реализуется на  системной основе: осуществляются полный анализ рисков, а также анализ причин  их возникновения, сбор, обработка и анализ данных об ущербе вследствие этих рисков.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выявленные риски ранжируются по значимости.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Критерии риска актуализируются на основании результатов анализа и приоритизации рисков и отражают соответствующие уровням риска параметры подконтрольных субъектов (объектов). Для наиболее опасных рисков </w:t>
      </w:r>
      <w:r>
        <w:rPr>
          <w:rFonts w:ascii="Times New Roman" w:hAnsi="Times New Roman" w:cs="Times New Roman"/>
          <w:sz w:val="26"/>
          <w:szCs w:val="26"/>
        </w:rPr>
        <w:t>критерии учитывают, в том числе их причины.  Качество критериев риска позволяет контролировать риски в условиях дифференцирования интенсивности плановых мероприятий по контролю (периодичность, продолжительность, глубина) и профилактике в зависимости от кат</w:t>
      </w:r>
      <w:r>
        <w:rPr>
          <w:rFonts w:ascii="Times New Roman" w:hAnsi="Times New Roman" w:cs="Times New Roman"/>
          <w:sz w:val="26"/>
          <w:szCs w:val="26"/>
        </w:rPr>
        <w:t>егорий риска подконтрольных субъектов (объектов).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реализации внеплановых мер реагирования контрольно-надзорные органы разрабатывают и используют индикаторы риска и иные предусмотренные законом инструменты, которые должны основываться на результатах ана</w:t>
      </w:r>
      <w:r>
        <w:rPr>
          <w:rFonts w:ascii="Times New Roman" w:hAnsi="Times New Roman" w:cs="Times New Roman"/>
          <w:sz w:val="26"/>
          <w:szCs w:val="26"/>
        </w:rPr>
        <w:t>лиза обстоятельств реализации событий, повлекших причинение ущерба охраняемым законом ценностям.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некоторых наиболее опасных рисков контрольно-надзорные органы сосредотачиваются на их упреждающем реагировании, обеспечиваемом не только применением качест</w:t>
      </w:r>
      <w:r>
        <w:rPr>
          <w:rFonts w:ascii="Times New Roman" w:hAnsi="Times New Roman" w:cs="Times New Roman"/>
          <w:sz w:val="26"/>
          <w:szCs w:val="26"/>
        </w:rPr>
        <w:t xml:space="preserve">венно проработанных критериев и индикаторов риска, но также с помощью современных технологий (к примеру, использование «интернета вещей») и «классических» мер профилактики.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Изменение обязательных требований, инициированное в целях снижения рисков, должно </w:t>
      </w:r>
      <w:r>
        <w:rPr>
          <w:rFonts w:ascii="Times New Roman" w:hAnsi="Times New Roman" w:cs="Times New Roman"/>
          <w:sz w:val="26"/>
          <w:szCs w:val="26"/>
        </w:rPr>
        <w:t xml:space="preserve">быть обоснованным, в том числе с точки зрения положительного влияния на  экономическое развитие в подконтрольной сфере.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формальной статистической отчетности больше не может служить основанием для принятия решений по управлению рисками. В раб</w:t>
      </w:r>
      <w:r>
        <w:rPr>
          <w:rFonts w:ascii="Times New Roman" w:hAnsi="Times New Roman" w:cs="Times New Roman"/>
          <w:sz w:val="26"/>
          <w:szCs w:val="26"/>
        </w:rPr>
        <w:t>оте с данными на втором уровне зрелости делается упор на обеспечение качества, достоверности, объективности и достаточности данных.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частности, важным условием принятия ведомством решений в рамках управления наиболее опасными рисками, в том числе по вопро</w:t>
      </w:r>
      <w:r>
        <w:rPr>
          <w:rFonts w:ascii="Times New Roman" w:hAnsi="Times New Roman" w:cs="Times New Roman"/>
          <w:sz w:val="26"/>
          <w:szCs w:val="26"/>
        </w:rPr>
        <w:t>сам среднесрочного планирования,  является их подтверждение достаточным объемом объективных и достоверных данных. С этой целью контрольно-надзорные органы осуществляют на постоянной основе сбор данных об ущербе в соответствии с утвержденными показателями р</w:t>
      </w:r>
      <w:r>
        <w:rPr>
          <w:rFonts w:ascii="Times New Roman" w:hAnsi="Times New Roman" w:cs="Times New Roman"/>
          <w:sz w:val="26"/>
          <w:szCs w:val="26"/>
        </w:rPr>
        <w:t>езультативности и эффективности.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межведомственного взаимодействия налажен регулярный обмен информацией о рисках и  согласование карт (профилей) рисков.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Качественное развитие деятельности по управлению рисками становится возможным благодаря формиро</w:t>
      </w:r>
      <w:r>
        <w:rPr>
          <w:rFonts w:ascii="Times New Roman" w:hAnsi="Times New Roman" w:cs="Times New Roman"/>
          <w:sz w:val="26"/>
          <w:szCs w:val="26"/>
        </w:rPr>
        <w:t>ванию начал ведомственной культуры управления рисками, рационализированному привлечению экспертов и аналитиков для помощи в реализации отдельных мероприятий в рамках управления рисками.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данном уровне зрелости возрастает степень публичной открытости конт</w:t>
      </w:r>
      <w:r>
        <w:rPr>
          <w:rFonts w:ascii="Times New Roman" w:hAnsi="Times New Roman" w:cs="Times New Roman"/>
          <w:sz w:val="26"/>
          <w:szCs w:val="26"/>
        </w:rPr>
        <w:t>рольно-надзорного органа. Речь идет уже не об односторонней связи с обществом, когда ведомства в основном только доносят ту или иную связанную с рисками информацию, а об определении референтных групп и налаживании с ними постоянного взаимодействия по повод</w:t>
      </w:r>
      <w:r>
        <w:rPr>
          <w:rFonts w:ascii="Times New Roman" w:hAnsi="Times New Roman" w:cs="Times New Roman"/>
          <w:sz w:val="26"/>
          <w:szCs w:val="26"/>
        </w:rPr>
        <w:t>у рисков. В частности, референтные группы должны быть вовлечены в обсуждение постановки целей, результатов деятельности, качества контрольных и профилактических мероприятий, актуальности и неизбыточности обязательных требований. Результаты такого обсуждени</w:t>
      </w:r>
      <w:r>
        <w:rPr>
          <w:rFonts w:ascii="Times New Roman" w:hAnsi="Times New Roman" w:cs="Times New Roman"/>
          <w:sz w:val="26"/>
          <w:szCs w:val="26"/>
        </w:rPr>
        <w:t xml:space="preserve">я учитываются органом власти при принятии соответствующих решений и мер.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Глубина понимания значимости управления рисками, способов и методов его реализации обеспечивается преимущественно за счет проведения образовательных мероприятий, формализации функций</w:t>
      </w:r>
      <w:r>
        <w:rPr>
          <w:rFonts w:ascii="Times New Roman" w:hAnsi="Times New Roman" w:cs="Times New Roman"/>
          <w:sz w:val="26"/>
          <w:szCs w:val="26"/>
        </w:rPr>
        <w:t xml:space="preserve"> в управлении рисками  и переориентации системы мотивации.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на втором уровне зрелости все сотрудники контрольно-надзорного органа, участвующие в управлении рисками, проходят обучение сообразно своему функционалу, по итогам которого они обладают необход</w:t>
      </w:r>
      <w:r>
        <w:rPr>
          <w:rFonts w:ascii="Times New Roman" w:hAnsi="Times New Roman" w:cs="Times New Roman"/>
          <w:sz w:val="26"/>
          <w:szCs w:val="26"/>
        </w:rPr>
        <w:t xml:space="preserve">имыми знаниями и навыками.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положениях о каждом функциональном структурном и территориальном подразделении должна быть установлена их компетенция в области управлении рисками.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Материальное стимулирование высшего руководящего состава учитывает результаты </w:t>
      </w:r>
      <w:r>
        <w:rPr>
          <w:rFonts w:ascii="Times New Roman" w:hAnsi="Times New Roman" w:cs="Times New Roman"/>
          <w:sz w:val="26"/>
          <w:szCs w:val="26"/>
        </w:rPr>
        <w:t>по управлению рисками в вверенных им подразделениях, а материальное стимулирование сотрудников структурных подразделений учитывает результаты подразделений по управлению рисками.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общим углублением и формализацией работы с рисками очерчивается рол</w:t>
      </w:r>
      <w:r>
        <w:rPr>
          <w:rFonts w:ascii="Times New Roman" w:hAnsi="Times New Roman" w:cs="Times New Roman"/>
          <w:sz w:val="26"/>
          <w:szCs w:val="26"/>
        </w:rPr>
        <w:t xml:space="preserve">ь Коллегии контрольно-надзорного органа, которая утверждает миссию, цели и задачи ведомства и отчетность по их достижению. </w:t>
      </w:r>
    </w:p>
    <w:p w:rsidR="00245CB5" w:rsidRDefault="00245CB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Третий («интегрированный») уровень зрелости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Третий уровень зрелости ведомственной системы управления рисками характеризуется </w:t>
      </w:r>
      <w:r>
        <w:rPr>
          <w:rFonts w:ascii="Times New Roman" w:hAnsi="Times New Roman" w:cs="Times New Roman"/>
          <w:sz w:val="26"/>
          <w:szCs w:val="26"/>
        </w:rPr>
        <w:t xml:space="preserve">компетентностью органа власти в управлении рисками. С помощью имеющегося правового инструментария ведомства контролируют основные риски и с учетом степени технического прогресса предупреждают их, обеспечивая необходимую защиту 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>в условиях оптимальных ресурсных затрат и минимальной административной нагрузки на бизнес.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Планирование и организация всей деятельности контрольно-надзорного органа  завязаны и соизмеряются со стратегическими целями и синхронизированными с ними миссией, це</w:t>
      </w:r>
      <w:r>
        <w:rPr>
          <w:rFonts w:ascii="Times New Roman" w:hAnsi="Times New Roman" w:cs="Times New Roman"/>
          <w:sz w:val="26"/>
          <w:szCs w:val="26"/>
        </w:rPr>
        <w:t>лями и задачами ведомства. Риски рассматриваются ведомством как фактор принятия стратегических решений среднесрочного и долгосрочного характера. Пересмотр целевых значений осуществляется только в ключе повышения уровня безопасности охраняемых законом ценно</w:t>
      </w:r>
      <w:r>
        <w:rPr>
          <w:rFonts w:ascii="Times New Roman" w:hAnsi="Times New Roman" w:cs="Times New Roman"/>
          <w:sz w:val="26"/>
          <w:szCs w:val="26"/>
        </w:rPr>
        <w:t>стей и не может повлечь увеличение уровня риска и ущерба в подконтрольной сфере, а также создавать барьеры для экономического развития.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третьем уровне зрелости контрольно-надзорные органы должны наладить процесс управления основными рисками подконтрольн</w:t>
      </w:r>
      <w:r>
        <w:rPr>
          <w:rFonts w:ascii="Times New Roman" w:hAnsi="Times New Roman" w:cs="Times New Roman"/>
          <w:sz w:val="26"/>
          <w:szCs w:val="26"/>
        </w:rPr>
        <w:t>ой сферы, в том числе разработав  обоснованные инструменты управления ими. Одним из главных показателей настроенного процесса риск-менеджмента является преимущественно упреждающее реагирование на выявленные риски, то есть – до того, как произойдут события,</w:t>
      </w:r>
      <w:r>
        <w:rPr>
          <w:rFonts w:ascii="Times New Roman" w:hAnsi="Times New Roman" w:cs="Times New Roman"/>
          <w:sz w:val="26"/>
          <w:szCs w:val="26"/>
        </w:rPr>
        <w:t xml:space="preserve"> могущие повлечь причинение вреда охраняемым законом ценностям. Для контроля рисков и своевременного получения информации об их наличии все более широко применяются современные технологии, включая искусственный интеллект,  «интернет вещей», промышленный «и</w:t>
      </w:r>
      <w:r>
        <w:rPr>
          <w:rFonts w:ascii="Times New Roman" w:hAnsi="Times New Roman" w:cs="Times New Roman"/>
          <w:sz w:val="26"/>
          <w:szCs w:val="26"/>
        </w:rPr>
        <w:t>нтернет вещей», анализ массива больших данных (</w:t>
      </w:r>
      <w:r>
        <w:rPr>
          <w:rFonts w:ascii="Times New Roman" w:hAnsi="Times New Roman" w:cs="Times New Roman"/>
          <w:sz w:val="26"/>
          <w:szCs w:val="26"/>
          <w:lang w:val="en-US"/>
        </w:rPr>
        <w:t>Big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Data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результативности управления ключевыми рисками связано, в том числе с активированием контрольно-надзорными органами стратегического подхода и с совершенствованием соответствующего инструмен</w:t>
      </w:r>
      <w:r>
        <w:rPr>
          <w:rFonts w:ascii="Times New Roman" w:hAnsi="Times New Roman" w:cs="Times New Roman"/>
          <w:sz w:val="26"/>
          <w:szCs w:val="26"/>
        </w:rPr>
        <w:t>тария.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Теперь результаты комплексного анализа подконтрольной среды и глубокое понимание основных рисков подконтрольной сферы и их причин позволяют смотреть на риски в более широком контексте регулирования. Прежде чем точечно применять меры реагирования, ко</w:t>
      </w:r>
      <w:r>
        <w:rPr>
          <w:rFonts w:ascii="Times New Roman" w:hAnsi="Times New Roman" w:cs="Times New Roman"/>
          <w:sz w:val="26"/>
          <w:szCs w:val="26"/>
        </w:rPr>
        <w:t xml:space="preserve">нтрольно-надзорные органы компетентно избирают наиболее оптимальные стратегии реагирования на риски  (смягчение, избегание или передача риска) и выстраивают комплекс мер реагирования, опираясь на определенную стратегию.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Критерии риска актуализируются по р</w:t>
      </w:r>
      <w:r>
        <w:rPr>
          <w:rFonts w:ascii="Times New Roman" w:hAnsi="Times New Roman" w:cs="Times New Roman"/>
          <w:sz w:val="26"/>
          <w:szCs w:val="26"/>
        </w:rPr>
        <w:t>езультатам проведенного анализа причин рисков. Индикаторы риска уточняются с учетом углубления понимания подконтрольной среды, обстоятельств и причин реализации сопряженных с риском событий.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плановые мероприятия по контролю направлены на стимулиро</w:t>
      </w:r>
      <w:r>
        <w:rPr>
          <w:rFonts w:ascii="Times New Roman" w:hAnsi="Times New Roman" w:cs="Times New Roman"/>
          <w:sz w:val="26"/>
          <w:szCs w:val="26"/>
        </w:rPr>
        <w:t xml:space="preserve">вание добросовестного поведения подконтрольных субъектов и не рассматриваются исключительно как способ воздействия на риск, порождаемый вследствие деятельности лиц, систематически нарушающих обязательные требования.  Внеплановые мероприятия по контролю, в </w:t>
      </w:r>
      <w:r>
        <w:rPr>
          <w:rFonts w:ascii="Times New Roman" w:hAnsi="Times New Roman" w:cs="Times New Roman"/>
          <w:sz w:val="26"/>
          <w:szCs w:val="26"/>
        </w:rPr>
        <w:t>отличие от первых уровней зрелости ведомственной системы управления рисками, имеют не «карательный», а превентивный характер, и призваны предупредить риски и/или причинение вреда охраняемым законом ценностям.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третьем уровне зрелости ведомственной систем</w:t>
      </w:r>
      <w:r>
        <w:rPr>
          <w:rFonts w:ascii="Times New Roman" w:hAnsi="Times New Roman" w:cs="Times New Roman"/>
          <w:sz w:val="26"/>
          <w:szCs w:val="26"/>
        </w:rPr>
        <w:t>ы управления рисками контрольно-надзорный орган также начинает работать с выявлением и оценкой новых и возникающих рисков, в том числе обусловленных развитием технологий в подконтрольной сфере, определенными параметрами деятельности подконтрольных субъекто</w:t>
      </w:r>
      <w:r>
        <w:rPr>
          <w:rFonts w:ascii="Times New Roman" w:hAnsi="Times New Roman" w:cs="Times New Roman"/>
          <w:sz w:val="26"/>
          <w:szCs w:val="26"/>
        </w:rPr>
        <w:t xml:space="preserve">в (объектов), которые еще не были источниками и факторами реализации событий, повлекших причинение вреда охраняемым законом ценностям или создавшим такую угрозу.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Качество используемых для управления рисками данных подтверждено внешней экспертизой на предм</w:t>
      </w:r>
      <w:r>
        <w:rPr>
          <w:rFonts w:ascii="Times New Roman" w:hAnsi="Times New Roman" w:cs="Times New Roman"/>
          <w:sz w:val="26"/>
          <w:szCs w:val="26"/>
        </w:rPr>
        <w:t xml:space="preserve">ет их необходимости, достаточности, репрезентативности и обеспечивается технически, в том числе с помощью перекрестного сравнения данных.  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Данные и их источники достаточны и не избыточны. Ситуации, в которых контрольно-надзорным органам для реагирования </w:t>
      </w:r>
      <w:r>
        <w:rPr>
          <w:rFonts w:ascii="Times New Roman" w:hAnsi="Times New Roman" w:cs="Times New Roman"/>
          <w:sz w:val="26"/>
          <w:szCs w:val="26"/>
        </w:rPr>
        <w:t>на уже выявленные ключевые риски требуются новые типы данных, практически не встречаются, однако могут возникать ввиду действия определенных позитивных факторов, включая высокие темпы развития науки и техники.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то же время для выявляемых новых и </w:t>
      </w:r>
      <w:r>
        <w:rPr>
          <w:rFonts w:ascii="Times New Roman" w:hAnsi="Times New Roman" w:cs="Times New Roman"/>
          <w:sz w:val="26"/>
          <w:szCs w:val="26"/>
        </w:rPr>
        <w:t>возникающих рисков контрольно-надзорные органы проделывают необходимую аналитическую работу по определению соответствующих этим рискам наборов данных, источников их своевременного получения, подтверждения качества наборов данных и т.п.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Переходит на более в</w:t>
      </w:r>
      <w:r>
        <w:rPr>
          <w:rFonts w:ascii="Times New Roman" w:hAnsi="Times New Roman" w:cs="Times New Roman"/>
          <w:sz w:val="26"/>
          <w:szCs w:val="26"/>
        </w:rPr>
        <w:t>ысокую ступень и культура управления рисками. Это проявляется, в частности, (1) в корректировании формата взаимодействия контрольно-надзорного органа с референтными группами и  более четкой ориентацией ведомства на целевую аудиторию и получение обратной св</w:t>
      </w:r>
      <w:r>
        <w:rPr>
          <w:rFonts w:ascii="Times New Roman" w:hAnsi="Times New Roman" w:cs="Times New Roman"/>
          <w:sz w:val="26"/>
          <w:szCs w:val="26"/>
        </w:rPr>
        <w:t>язи на предмет качества взаимодействия, (2) в качественном расширении спектра сотрудников контрольно-надзорного органа, прошедших обучение управлению рисками, (3) в закреплении знаний и навыков сотрудников в управлении рисками и подтверждение ими своей ква</w:t>
      </w:r>
      <w:r>
        <w:rPr>
          <w:rFonts w:ascii="Times New Roman" w:hAnsi="Times New Roman" w:cs="Times New Roman"/>
          <w:sz w:val="26"/>
          <w:szCs w:val="26"/>
        </w:rPr>
        <w:t xml:space="preserve">лификации, (4) в прямой обусловленности системы индивидуального стимулирования и кадровых решений, в том числе эффективностью управления рисками.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Рационализация административных процессов, в том числе благодаря полной интеграции в них деятельности по упра</w:t>
      </w:r>
      <w:r>
        <w:rPr>
          <w:rFonts w:ascii="Times New Roman" w:hAnsi="Times New Roman" w:cs="Times New Roman"/>
          <w:sz w:val="26"/>
          <w:szCs w:val="26"/>
        </w:rPr>
        <w:t>влению рисками и соответствующих функций сотрудников и структурных подразделений, способствует повышению эффективности управления рисками.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Специализируются и переходят на новый содержательный уровень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функции Коллегии: она пересматривает и утверждает миссию</w:t>
      </w:r>
      <w:r>
        <w:rPr>
          <w:rFonts w:ascii="Times New Roman" w:hAnsi="Times New Roman" w:cs="Times New Roman"/>
          <w:sz w:val="26"/>
          <w:szCs w:val="26"/>
        </w:rPr>
        <w:t>, цели и задачи контрольно-надзорного органа,  рассматривает достижение целей контрольно-надзорного органа и показателей резульативности и эффективности, факторы, влияющие на достижение и недостижение целей и показателей, одобряет стратегии реагирования на</w:t>
      </w:r>
      <w:r>
        <w:rPr>
          <w:rFonts w:ascii="Times New Roman" w:hAnsi="Times New Roman" w:cs="Times New Roman"/>
          <w:sz w:val="26"/>
          <w:szCs w:val="26"/>
        </w:rPr>
        <w:t xml:space="preserve"> риски.</w:t>
      </w:r>
    </w:p>
    <w:p w:rsidR="00245CB5" w:rsidRDefault="00245CB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Четвертый («продвинутый») уровень зрелости</w:t>
      </w:r>
    </w:p>
    <w:p w:rsidR="00245CB5" w:rsidRDefault="00245CB5">
      <w:pPr>
        <w:spacing w:after="0" w:line="312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Четвертый уровень зрелости ведомственной системы управления рисками отличается не только высокой степенью контроля рисков со стороны органа власти и коренными преобразованиями в ценностно-культурной пара</w:t>
      </w:r>
      <w:r>
        <w:rPr>
          <w:rFonts w:ascii="Times New Roman" w:hAnsi="Times New Roman" w:cs="Times New Roman"/>
          <w:sz w:val="26"/>
          <w:szCs w:val="26"/>
        </w:rPr>
        <w:t xml:space="preserve">дигме контрольно-надзорного органа, но и устойчивыми положительными изменениями в подконтрольной сфере, в определенной мере характеризующими ее как саморегулируемую систему. 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Эти изменения означают, что в подконтрольной сфере достигнут и поддерживается с </w:t>
      </w:r>
      <w:r>
        <w:rPr>
          <w:rFonts w:ascii="Times New Roman" w:hAnsi="Times New Roman" w:cs="Times New Roman"/>
          <w:sz w:val="26"/>
          <w:szCs w:val="26"/>
        </w:rPr>
        <w:t>помощью предусмотренных законодательством механизмов приемлемый уровень риска и ущерба охраняемым законом ценностям, установлены четкие взаимосвязи между рисками и регулированием, а система обязательных требований стимулирует добросовестное поведение подко</w:t>
      </w:r>
      <w:r>
        <w:rPr>
          <w:rFonts w:ascii="Times New Roman" w:hAnsi="Times New Roman" w:cs="Times New Roman"/>
          <w:sz w:val="26"/>
          <w:szCs w:val="26"/>
        </w:rPr>
        <w:t xml:space="preserve">нтрольных субъектов.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свою очередь, целеполагание контрольно-надзорного органа находится на пике возможного развития: концентрация ведомств на достижении стратегических целей с необходимостью предполагает, в том числе комплексный анализ и оценку иных (на</w:t>
      </w:r>
      <w:r>
        <w:rPr>
          <w:rFonts w:ascii="Times New Roman" w:hAnsi="Times New Roman" w:cs="Times New Roman"/>
          <w:sz w:val="26"/>
          <w:szCs w:val="26"/>
        </w:rPr>
        <w:t xml:space="preserve">ряду с контролем (надзором) или вместо него) механизмов регулирования подконтрольной сферы,  которые помогут добиться еще большего уровня безопасности охраняемых законом ценностей, уравновешенного при этом устойчивым экономическим развитием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операционной</w:t>
      </w:r>
      <w:r>
        <w:rPr>
          <w:rFonts w:ascii="Times New Roman" w:hAnsi="Times New Roman" w:cs="Times New Roman"/>
          <w:sz w:val="26"/>
          <w:szCs w:val="26"/>
        </w:rPr>
        <w:t xml:space="preserve"> точки зрения, такой внешний эффект обеспечивается, в том числе за счет полной интеграции риск-менеджмента в текущую деятельность ведомства и концептуальной синхронизации этой деятельности со стратегическими целями регулируемой сферы общественных отношений</w:t>
      </w:r>
      <w:r>
        <w:rPr>
          <w:rFonts w:ascii="Times New Roman" w:hAnsi="Times New Roman" w:cs="Times New Roman"/>
          <w:sz w:val="26"/>
          <w:szCs w:val="26"/>
        </w:rPr>
        <w:t>. На данной стадии вся деятельность контрольно-надзорного органа, включая меры по изменению правового регулирования, разрешительную деятельность, контрольные и профилактические мероприятия, осуществляется на основе результатов оценки рисков.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четвертом у</w:t>
      </w:r>
      <w:r>
        <w:rPr>
          <w:rFonts w:ascii="Times New Roman" w:hAnsi="Times New Roman" w:cs="Times New Roman"/>
          <w:sz w:val="26"/>
          <w:szCs w:val="26"/>
        </w:rPr>
        <w:t>ровне зрелости методология работы с рисками усложняется. В частности, риски подконтрольной сферы выявляются, анализируются и приоритизируются, в том числе с использованием сценарного моделирования и планирования. Выявление рисков и реагирование на них, вкл</w:t>
      </w:r>
      <w:r>
        <w:rPr>
          <w:rFonts w:ascii="Times New Roman" w:hAnsi="Times New Roman" w:cs="Times New Roman"/>
          <w:sz w:val="26"/>
          <w:szCs w:val="26"/>
        </w:rPr>
        <w:t xml:space="preserve">ючая новые и возникающие риски, - упреждающие. 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Комплексное знание и понимание рисков становится возможным, с одной стороны, в силу высокой и адекватной потребностям подконтрольной сферы и уровню развития  науки и техники квалификации сотрудников контроль</w:t>
      </w:r>
      <w:r>
        <w:rPr>
          <w:rFonts w:ascii="Times New Roman" w:hAnsi="Times New Roman" w:cs="Times New Roman"/>
          <w:sz w:val="26"/>
          <w:szCs w:val="26"/>
        </w:rPr>
        <w:t xml:space="preserve">но-надзорного органа в части управления рисками,  с другой – ввиду глубокого анализа подконтрольной сферы и постоянной обратной связи с подконтрольной средой, результаты которых используются для совершенствования методов и инструментов управлении рисками, </w:t>
      </w:r>
      <w:r>
        <w:rPr>
          <w:rFonts w:ascii="Times New Roman" w:hAnsi="Times New Roman" w:cs="Times New Roman"/>
          <w:sz w:val="26"/>
          <w:szCs w:val="26"/>
        </w:rPr>
        <w:t>с третьей – качеством, достаточным объемом данных, необходимых для управления рисками, и применением наиболее быстрых и эффективных способов сбора и обработки данных, в том числе с использованием предиктивной аналитики, искусственного интеллекта, «интернет</w:t>
      </w:r>
      <w:r>
        <w:rPr>
          <w:rFonts w:ascii="Times New Roman" w:hAnsi="Times New Roman" w:cs="Times New Roman"/>
          <w:sz w:val="26"/>
          <w:szCs w:val="26"/>
        </w:rPr>
        <w:t>а вещей», промышленного «интернета вещей», на основе массива больших данных (BigData).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Корпоративная культура управления рисками достигла уровня, на котором все сотрудники контрольно-надзорного органа разделяют его цели деятельности по повышению уровня без</w:t>
      </w:r>
      <w:r>
        <w:rPr>
          <w:rFonts w:ascii="Times New Roman" w:hAnsi="Times New Roman" w:cs="Times New Roman"/>
          <w:sz w:val="26"/>
          <w:szCs w:val="26"/>
        </w:rPr>
        <w:t xml:space="preserve">опасности охраняемым законом ценностям и содействию экономическому развитию и понимают принципиальную значимость применения риск-ориентированного подхода для достижения этих целей, и осознают свой функциональный вклад в это.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индивидуального стимул</w:t>
      </w:r>
      <w:r>
        <w:rPr>
          <w:rFonts w:ascii="Times New Roman" w:hAnsi="Times New Roman" w:cs="Times New Roman"/>
          <w:sz w:val="26"/>
          <w:szCs w:val="26"/>
        </w:rPr>
        <w:t xml:space="preserve">ирования всего кадрового состава учитывает результаты органа власти по достижению целей деятельности и личный вклад каждого сотрудника в достижение этих целей в зависимости от обязанностей, предусмотренных должностным регламентом.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публичной открыт</w:t>
      </w:r>
      <w:r>
        <w:rPr>
          <w:rFonts w:ascii="Times New Roman" w:hAnsi="Times New Roman" w:cs="Times New Roman"/>
          <w:sz w:val="26"/>
          <w:szCs w:val="26"/>
        </w:rPr>
        <w:t xml:space="preserve">ости контрольно-надзорного органа повышается за счет его нацеленности на возможно полную открытость информации о рисках для ознакомления и обсуждения всеми заинтересованными лицами и на  улучшение качества взаимодействия с референтными группами. </w:t>
      </w:r>
    </w:p>
    <w:p w:rsidR="00245CB5" w:rsidRDefault="00EF71C4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Задачей о</w:t>
      </w:r>
      <w:r>
        <w:rPr>
          <w:rFonts w:ascii="Times New Roman" w:hAnsi="Times New Roman" w:cs="Times New Roman"/>
          <w:sz w:val="26"/>
          <w:szCs w:val="26"/>
        </w:rPr>
        <w:t>птимизации административных процессов, организационной структуры и функционала сотрудников на масштабах всего органа власти является такое их состояние, которое положительно влияет на достижение целей повышения уровня безопасности охраняемым законом ценнос</w:t>
      </w:r>
      <w:r>
        <w:rPr>
          <w:rFonts w:ascii="Times New Roman" w:hAnsi="Times New Roman" w:cs="Times New Roman"/>
          <w:sz w:val="26"/>
          <w:szCs w:val="26"/>
        </w:rPr>
        <w:t xml:space="preserve">тей и содействия экономическому развитию. </w:t>
      </w:r>
    </w:p>
    <w:p w:rsidR="00245CB5" w:rsidRDefault="00245CB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245CB5">
          <w:footerReference w:type="default" r:id="rId16"/>
          <w:pgSz w:w="11906" w:h="16838"/>
          <w:pgMar w:top="1440" w:right="566" w:bottom="1440" w:left="1133" w:header="0" w:footer="0" w:gutter="0"/>
          <w:cols w:space="720"/>
          <w:formProt w:val="0"/>
          <w:docGrid w:linePitch="100" w:charSpace="4096"/>
        </w:sectPr>
      </w:pPr>
    </w:p>
    <w:p w:rsidR="00245CB5" w:rsidRDefault="00245CB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45CB5" w:rsidRDefault="00EF71C4">
      <w:pPr>
        <w:spacing w:after="0" w:line="312" w:lineRule="auto"/>
        <w:jc w:val="both"/>
        <w:outlineLvl w:val="1"/>
        <w:rPr>
          <w:rFonts w:ascii="Times New Roman" w:hAnsi="Times New Roman" w:cs="Times New Roman"/>
          <w:sz w:val="26"/>
          <w:szCs w:val="26"/>
          <w:u w:val="single"/>
        </w:rPr>
      </w:pPr>
      <w:bookmarkStart w:id="20" w:name="_Toc792381"/>
      <w:r>
        <w:rPr>
          <w:rFonts w:ascii="Times New Roman" w:hAnsi="Times New Roman" w:cs="Times New Roman"/>
          <w:sz w:val="26"/>
          <w:szCs w:val="26"/>
          <w:u w:val="single"/>
        </w:rPr>
        <w:t>2.3 Модель зрелости ведомственной системы управления рисками</w:t>
      </w:r>
      <w:bookmarkEnd w:id="20"/>
    </w:p>
    <w:p w:rsidR="00245CB5" w:rsidRDefault="00245CB5">
      <w:pPr>
        <w:spacing w:after="0" w:line="288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12"/>
        <w:tblW w:w="14885" w:type="dxa"/>
        <w:tblInd w:w="-318" w:type="dxa"/>
        <w:tblLook w:val="04A0" w:firstRow="1" w:lastRow="0" w:firstColumn="1" w:lastColumn="0" w:noHBand="0" w:noVBand="1"/>
      </w:tblPr>
      <w:tblGrid>
        <w:gridCol w:w="1796"/>
        <w:gridCol w:w="2677"/>
        <w:gridCol w:w="3236"/>
        <w:gridCol w:w="3515"/>
        <w:gridCol w:w="3661"/>
      </w:tblGrid>
      <w:tr w:rsidR="00245CB5">
        <w:tc>
          <w:tcPr>
            <w:tcW w:w="14885" w:type="dxa"/>
            <w:gridSpan w:val="5"/>
            <w:shd w:val="clear" w:color="auto" w:fill="auto"/>
          </w:tcPr>
          <w:p w:rsidR="00245CB5" w:rsidRDefault="00245CB5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ЦЕЛИ И ПЛАНИРОВАНИЕ </w:t>
            </w:r>
          </w:p>
        </w:tc>
      </w:tr>
      <w:tr w:rsidR="00245CB5">
        <w:tc>
          <w:tcPr>
            <w:tcW w:w="1701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Характеристики элемента</w:t>
            </w:r>
          </w:p>
        </w:tc>
        <w:tc>
          <w:tcPr>
            <w:tcW w:w="2693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Уровень 1</w:t>
            </w:r>
          </w:p>
        </w:tc>
        <w:tc>
          <w:tcPr>
            <w:tcW w:w="3261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Уровень 2</w:t>
            </w:r>
          </w:p>
        </w:tc>
        <w:tc>
          <w:tcPr>
            <w:tcW w:w="3542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Уровень 3</w:t>
            </w:r>
          </w:p>
        </w:tc>
        <w:tc>
          <w:tcPr>
            <w:tcW w:w="3688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Уровень 4</w:t>
            </w:r>
          </w:p>
        </w:tc>
      </w:tr>
      <w:tr w:rsidR="00245CB5">
        <w:tc>
          <w:tcPr>
            <w:tcW w:w="14885" w:type="dxa"/>
            <w:gridSpan w:val="5"/>
            <w:shd w:val="clear" w:color="auto" w:fill="auto"/>
          </w:tcPr>
          <w:p w:rsidR="00245CB5" w:rsidRDefault="00245CB5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45CB5">
        <w:tc>
          <w:tcPr>
            <w:tcW w:w="1701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1) планирование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деятельности органа власти</w:t>
            </w:r>
          </w:p>
        </w:tc>
        <w:tc>
          <w:tcPr>
            <w:tcW w:w="2693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контроля (надзора) обоснован наличием стратегической цели обеспечения безопасности охраняемых законом ценностей.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Стратегическая цель вида контроля (надзора) закреплена в документах стратегического планирования, мисси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и задачи контрольно-надзорного органа синхронизированы со стратегической целью и зафиксированы, цели  интерпретированы в показатели результативности и эффективности и их целевые значения.</w:t>
            </w:r>
          </w:p>
        </w:tc>
        <w:tc>
          <w:tcPr>
            <w:tcW w:w="3542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Миссия, цели и задачи контрольно-надзорного органа, утвержденные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оказатели результативности и эффективности и их целевые значения полностью синхронизированы со стратегической целью вида контроля (надзора),  корректируются во взаимосвязи с ней, а также направлены на содействие экономическому развитию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подконтрольной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сфере достигнут приемлемый уровень риска и ущерба охраняемым законом ценностям, соответствующий лучшим международным практикам.</w:t>
            </w: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повышения уровня безопасности охраняемых законом ценностей и содействия экономическому развитию проводится анализ вида конт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роля  (надзора) и иных возможных механизмов регулирования и внедряются те из них,  которые могут наилучшим образом обеспечить достижение целей подконтрольной сферы, в том числе наряду с отменой вида контроля (надзора).</w:t>
            </w: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5CB5">
        <w:trPr>
          <w:trHeight w:val="5368"/>
        </w:trPr>
        <w:tc>
          <w:tcPr>
            <w:tcW w:w="1701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2) управление целями</w:t>
            </w:r>
          </w:p>
        </w:tc>
        <w:tc>
          <w:tcPr>
            <w:tcW w:w="2693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контрольно-надзорном  органе действует координационный орган, рассматривающий вопросы планирования и результатов  управления рисками.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245CB5" w:rsidRDefault="00EF71C4">
            <w:pPr>
              <w:tabs>
                <w:tab w:val="left" w:pos="2197"/>
              </w:tabs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Координационный орган формулирует, а Коллегия утверждает миссию, цели, задачи контрольно-надзорного органа и рассматрива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 отчетность по их достижению.</w:t>
            </w:r>
          </w:p>
          <w:p w:rsidR="00245CB5" w:rsidRDefault="00EF71C4">
            <w:pPr>
              <w:tabs>
                <w:tab w:val="left" w:pos="2197"/>
              </w:tabs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Коллегия пересматривает и утверждает миссию, цели и задачи контрольно-надзорного органа,  рассматривает достижение целей контрольно-надзорного органа и показателей, факторы, влияющие на достижение и недостижение целей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казателей, одобряет стратегии реагирования на риски.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Коллегия рассматривает стратегические вопросы управления рисками во  взаимосвязи с достижением целей подконтрольной сферы и принимает решения, в том числе об изменении обязательных требований, о внедре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нии иных механизмов регулирования подконтрольной сферы и отмене вида контроля (надзора).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CB5">
        <w:tc>
          <w:tcPr>
            <w:tcW w:w="14885" w:type="dxa"/>
            <w:gridSpan w:val="5"/>
            <w:shd w:val="clear" w:color="auto" w:fill="auto"/>
          </w:tcPr>
          <w:p w:rsidR="00245CB5" w:rsidRDefault="00245CB5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ДАННЫЕ</w:t>
            </w:r>
          </w:p>
          <w:p w:rsidR="00245CB5" w:rsidRDefault="00245CB5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CB5">
        <w:tc>
          <w:tcPr>
            <w:tcW w:w="1701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 элемента</w:t>
            </w:r>
          </w:p>
        </w:tc>
        <w:tc>
          <w:tcPr>
            <w:tcW w:w="2693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1</w:t>
            </w:r>
          </w:p>
        </w:tc>
        <w:tc>
          <w:tcPr>
            <w:tcW w:w="3261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2</w:t>
            </w:r>
          </w:p>
        </w:tc>
        <w:tc>
          <w:tcPr>
            <w:tcW w:w="3542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3</w:t>
            </w:r>
          </w:p>
        </w:tc>
        <w:tc>
          <w:tcPr>
            <w:tcW w:w="3688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4</w:t>
            </w:r>
          </w:p>
        </w:tc>
      </w:tr>
      <w:tr w:rsidR="00245CB5">
        <w:tc>
          <w:tcPr>
            <w:tcW w:w="1701" w:type="dxa"/>
            <w:shd w:val="clear" w:color="auto" w:fill="auto"/>
          </w:tcPr>
          <w:p w:rsidR="00245CB5" w:rsidRDefault="00EF71C4">
            <w:pPr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1)источники и качество</w:t>
            </w:r>
          </w:p>
        </w:tc>
        <w:tc>
          <w:tcPr>
            <w:tcW w:w="2693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данных – преимущественно официальная статистическая отчетность и оперативно поступающая информация. </w:t>
            </w: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данных, как правило, не проверяется.</w:t>
            </w:r>
          </w:p>
        </w:tc>
        <w:tc>
          <w:tcPr>
            <w:tcW w:w="3261" w:type="dxa"/>
            <w:shd w:val="clear" w:color="auto" w:fill="auto"/>
          </w:tcPr>
          <w:p w:rsidR="00245CB5" w:rsidRDefault="00EF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данных, необходимых для управления рисками, достаточны. Однако не обеспечена на постоянной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снове проверка качества данных.</w:t>
            </w:r>
          </w:p>
          <w:p w:rsidR="00245CB5" w:rsidRDefault="00245CB5">
            <w:pPr>
              <w:spacing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данных подтверждены внешней экспертизой на предмет их необходимости, достаточности, репрезентативности.</w:t>
            </w: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данных достаточны и не избыточны.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Внедрены автоматизированные механизмы сбора, хранения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обработки данных, в том числе с помощью современных цифровых инструментов.</w:t>
            </w:r>
          </w:p>
        </w:tc>
      </w:tr>
      <w:tr w:rsidR="00245CB5">
        <w:tc>
          <w:tcPr>
            <w:tcW w:w="1701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2) обоснование решений</w:t>
            </w:r>
          </w:p>
        </w:tc>
        <w:tc>
          <w:tcPr>
            <w:tcW w:w="2693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Решения контрольно-надзорного органа обоснованы данными, достаточными для решения задач операционного характера.</w:t>
            </w:r>
          </w:p>
        </w:tc>
        <w:tc>
          <w:tcPr>
            <w:tcW w:w="3261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Решения контрольно-надзорного органа (от опе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рационных до среднесрочного планирования) по наиболее опасным рискам обоснованы достаточным объемом достоверных и объективных данных.</w:t>
            </w:r>
          </w:p>
          <w:p w:rsidR="00245CB5" w:rsidRDefault="00245CB5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Решения контрольно-надзорного органа (от операционных до стратегических) по основным рискам подконтрольной сферы обоснова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достаточным объемом достоверных и объективных данных, в том числе полученных на основе массива больших данных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BigData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45CB5" w:rsidRDefault="00245CB5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решения контрольно-надзорного органа по рискам подконтрольной сферы обоснованы, в том числе данными, полученными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цифровых инструментов.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CB5">
        <w:tc>
          <w:tcPr>
            <w:tcW w:w="14885" w:type="dxa"/>
            <w:gridSpan w:val="5"/>
            <w:shd w:val="clear" w:color="auto" w:fill="auto"/>
          </w:tcPr>
          <w:p w:rsidR="00245CB5" w:rsidRDefault="00245CB5">
            <w:pPr>
              <w:spacing w:after="0" w:line="288" w:lineRule="auto"/>
              <w:contextualSpacing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. ПРОЦЕСС УПРАВЛЕНИЯ РИСКАМИ </w:t>
            </w:r>
          </w:p>
          <w:p w:rsidR="00245CB5" w:rsidRDefault="00245CB5">
            <w:pPr>
              <w:spacing w:after="0" w:line="288" w:lineRule="auto"/>
              <w:contextualSpacing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  <w:tr w:rsidR="00245CB5">
        <w:tc>
          <w:tcPr>
            <w:tcW w:w="1701" w:type="dxa"/>
            <w:shd w:val="clear" w:color="auto" w:fill="auto"/>
          </w:tcPr>
          <w:p w:rsidR="00245CB5" w:rsidRDefault="00EF71C4">
            <w:pPr>
              <w:spacing w:after="0" w:line="288" w:lineRule="auto"/>
              <w:jc w:val="both"/>
              <w:rPr>
                <w:rFonts w:ascii="Times New Roman" w:eastAsia="Cambr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>1)идентификация, анализ и ранжирование рисков</w:t>
            </w: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Процесс управления рисками не реализуется, вместе с тем выстраиваются его отдельные этапы и элементы.</w:t>
            </w:r>
          </w:p>
        </w:tc>
        <w:tc>
          <w:tcPr>
            <w:tcW w:w="3261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Выстроен процесс управления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наиболее опасными рисками, в том числе разработаны обоснованные инструменты управления ими.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Выстроен процесс управления основными рисками подконтрольной сферы, в том числе разработаны обоснованные инструменты управления ими.</w:t>
            </w:r>
          </w:p>
        </w:tc>
        <w:tc>
          <w:tcPr>
            <w:tcW w:w="3688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Выявление рисков носит полн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остью упреждающий характер и обеспечивается, в том числе повсеместным использованием современных методов/инструментов интеллектуального контроля.</w:t>
            </w:r>
          </w:p>
        </w:tc>
      </w:tr>
      <w:tr w:rsidR="00245CB5">
        <w:tc>
          <w:tcPr>
            <w:tcW w:w="1701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mbria" w:hAnsi="Times New Roman" w:cs="Times New Roman"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 xml:space="preserve">) реагирование на риски  </w:t>
            </w:r>
          </w:p>
        </w:tc>
        <w:tc>
          <w:tcPr>
            <w:tcW w:w="2693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Реагирование на уже реализовавшиеся риски, повлекшие причинение вреда охраняемым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законом ценностям.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Реагирование в основном на реализовавшиеся риски.   Упреждающее реагирование на некоторые наиболее опасные риски, в первую очередь с  использованием мер профилактики.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Преимущественно превентивное реагирование на основные риски подк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онтрольной сферы, без учета новых и возникающих рисков.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Упреждающее реагирование на все управляемые риски подконтрольной сферы, включая новые и возникающие.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245CB5">
        <w:tc>
          <w:tcPr>
            <w:tcW w:w="14885" w:type="dxa"/>
            <w:gridSpan w:val="5"/>
            <w:shd w:val="clear" w:color="auto" w:fill="auto"/>
          </w:tcPr>
          <w:p w:rsidR="00245CB5" w:rsidRDefault="00245CB5">
            <w:pPr>
              <w:spacing w:after="0" w:line="288" w:lineRule="auto"/>
              <w:contextualSpacing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. ИНФРАСТРУКТУРА </w:t>
            </w:r>
          </w:p>
          <w:p w:rsidR="00245CB5" w:rsidRDefault="00245CB5">
            <w:pPr>
              <w:spacing w:after="0" w:line="288" w:lineRule="auto"/>
              <w:contextualSpacing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  <w:tr w:rsidR="00245CB5">
        <w:tc>
          <w:tcPr>
            <w:tcW w:w="1701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 xml:space="preserve">1) регламентация управления рисками </w:t>
            </w:r>
          </w:p>
        </w:tc>
        <w:tc>
          <w:tcPr>
            <w:tcW w:w="2693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Нормативно-правовое регулирование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позволяет  определить и сформулировать целеполагание контрольно-надзорного органа, наладить процессы по обеспечению ведомства необходимыми и достаточными данными, реализовать основные этапы управления рисками.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Нормативно-правовое регулирование позволяет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сбалансировать целеполагание контрольно-надзорного органа,  обеспечить максимальное качество используемых данных, результативно</w:t>
            </w:r>
            <w:r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ть и эффективность управление рисками.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245CB5" w:rsidRDefault="00EF71C4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Контрольно-надзорный орган действует в существующих нормативно-правовых рамках. Регулирование корректируется, в том числе с учетом развития  технологий. </w:t>
            </w: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shd w:val="clear" w:color="auto" w:fill="auto"/>
          </w:tcPr>
          <w:p w:rsidR="00245CB5" w:rsidRDefault="00EF71C4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Контрольно-надзорный орган действует в существующих нормативно-правовых рамках. Регулирование коррект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ируется, в том числе с учетом развития  технологий.</w:t>
            </w:r>
          </w:p>
        </w:tc>
      </w:tr>
      <w:tr w:rsidR="00245CB5">
        <w:tc>
          <w:tcPr>
            <w:tcW w:w="1701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>2) кадры</w:t>
            </w:r>
          </w:p>
        </w:tc>
        <w:tc>
          <w:tcPr>
            <w:tcW w:w="2693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Отдельные сотрудники контрольно-надзорного органа, участвующие в управлении рисками, прошли обучение управлению рисками.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245CB5" w:rsidRDefault="00EF71C4">
            <w:pPr>
              <w:spacing w:after="0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Сотрудники контрольно-надзорного органа, участвующие в управлении рискам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и, прошли обучение управлению рисками, объем которого зависит от их функционала, и обладают знаниями, необходимыми для управления рисками.</w:t>
            </w: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Все сотрудники контрольно-надзорного органа прошли обучение управлению рисками, обладают знаниями и навыками, 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необходимыми для управления рисками в соответствии с их функционалом.</w:t>
            </w: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Все сотрудники контрольно-надзорного органа понимают, разделяют и содействуют в своей деятельности целям управления рисками.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Ключевые требования к сотрудникам контрольно-надзорного ор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гана в части компетенций и психологического портрета формируются с помощью автоматизированных систем, в том числе на основе опыта национального и международного управления рисками и с учетом уровня развития технологий.</w:t>
            </w:r>
          </w:p>
        </w:tc>
      </w:tr>
      <w:tr w:rsidR="00245CB5">
        <w:tc>
          <w:tcPr>
            <w:tcW w:w="1701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>3) экспертно- аналитическое сопровож</w:t>
            </w:r>
            <w:r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 xml:space="preserve">дение 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Эпизодическое, для реализации отдельных мероприятий, связанных с управлением рисками, использование экспертно-аналитического сопровождения.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Периодическое,  для выстраивания процесса управления рисками,</w:t>
            </w: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использование экспертно-аналитического сопро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вождения.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Регулярное привлечение экспертной поддержки для организации и осуществления управления рисками. </w:t>
            </w: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8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На постоянной основе обеспечивается системное экспертно-аналитическое сопровождение управления рисками.</w:t>
            </w:r>
          </w:p>
        </w:tc>
      </w:tr>
    </w:tbl>
    <w:p w:rsidR="00245CB5" w:rsidRDefault="00245CB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45CB5" w:rsidRDefault="00245CB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45CB5" w:rsidRDefault="00245CB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45CB5" w:rsidRDefault="00245CB5">
      <w:pPr>
        <w:spacing w:after="0" w:line="312" w:lineRule="auto"/>
        <w:ind w:firstLine="708"/>
        <w:contextualSpacing/>
        <w:jc w:val="both"/>
      </w:pPr>
      <w:bookmarkStart w:id="21" w:name="_Hlk697060"/>
      <w:bookmarkEnd w:id="21"/>
    </w:p>
    <w:p w:rsidR="00245CB5" w:rsidRDefault="00245CB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45CB5" w:rsidRDefault="00245CB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45CB5" w:rsidRDefault="00EF71C4">
      <w:pPr>
        <w:spacing w:after="0" w:line="312" w:lineRule="auto"/>
        <w:jc w:val="both"/>
        <w:outlineLvl w:val="1"/>
        <w:rPr>
          <w:rFonts w:ascii="Times New Roman" w:hAnsi="Times New Roman" w:cs="Times New Roman"/>
          <w:sz w:val="26"/>
          <w:szCs w:val="26"/>
          <w:u w:val="single"/>
        </w:rPr>
      </w:pPr>
      <w:bookmarkStart w:id="22" w:name="_Toc792382"/>
      <w:r>
        <w:rPr>
          <w:rFonts w:ascii="Times New Roman" w:hAnsi="Times New Roman" w:cs="Times New Roman"/>
          <w:sz w:val="26"/>
          <w:szCs w:val="26"/>
          <w:u w:val="single"/>
        </w:rPr>
        <w:t xml:space="preserve">2.4. Детализированная модель </w:t>
      </w:r>
      <w:r>
        <w:rPr>
          <w:rFonts w:ascii="Times New Roman" w:hAnsi="Times New Roman" w:cs="Times New Roman"/>
          <w:sz w:val="26"/>
          <w:szCs w:val="26"/>
          <w:u w:val="single"/>
        </w:rPr>
        <w:t>зрелости ведомственной системы управления рисками</w:t>
      </w:r>
      <w:bookmarkEnd w:id="22"/>
    </w:p>
    <w:p w:rsidR="00245CB5" w:rsidRDefault="00245CB5">
      <w:pPr>
        <w:rPr>
          <w:rFonts w:ascii="Times New Roman" w:hAnsi="Times New Roman" w:cs="Times New Roman"/>
          <w:sz w:val="20"/>
          <w:szCs w:val="20"/>
        </w:rPr>
      </w:pPr>
    </w:p>
    <w:p w:rsidR="00245CB5" w:rsidRDefault="00245CB5">
      <w:pPr>
        <w:spacing w:after="0" w:line="288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ff"/>
        <w:tblpPr w:leftFromText="180" w:rightFromText="180" w:vertAnchor="text" w:tblpX="-322" w:tblpY="1"/>
        <w:tblW w:w="1488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95"/>
        <w:gridCol w:w="2694"/>
        <w:gridCol w:w="3259"/>
        <w:gridCol w:w="3552"/>
        <w:gridCol w:w="3689"/>
      </w:tblGrid>
      <w:tr w:rsidR="00245CB5">
        <w:tc>
          <w:tcPr>
            <w:tcW w:w="14889" w:type="dxa"/>
            <w:gridSpan w:val="5"/>
            <w:shd w:val="clear" w:color="auto" w:fill="auto"/>
          </w:tcPr>
          <w:p w:rsidR="00245CB5" w:rsidRDefault="00245CB5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ЦЕЛИ И ПЛАНИРОВАНИЕ </w:t>
            </w:r>
          </w:p>
          <w:p w:rsidR="00245CB5" w:rsidRDefault="00245CB5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CB5">
        <w:tc>
          <w:tcPr>
            <w:tcW w:w="1695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Характеристики элемента</w:t>
            </w:r>
          </w:p>
        </w:tc>
        <w:tc>
          <w:tcPr>
            <w:tcW w:w="2694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Уровень 1</w:t>
            </w:r>
          </w:p>
        </w:tc>
        <w:tc>
          <w:tcPr>
            <w:tcW w:w="3259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Уровень 2</w:t>
            </w:r>
          </w:p>
        </w:tc>
        <w:tc>
          <w:tcPr>
            <w:tcW w:w="3552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Уровень 3</w:t>
            </w:r>
          </w:p>
        </w:tc>
        <w:tc>
          <w:tcPr>
            <w:tcW w:w="3689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Уровень 4</w:t>
            </w:r>
          </w:p>
        </w:tc>
      </w:tr>
      <w:tr w:rsidR="00245CB5">
        <w:tc>
          <w:tcPr>
            <w:tcW w:w="14889" w:type="dxa"/>
            <w:gridSpan w:val="5"/>
            <w:shd w:val="clear" w:color="auto" w:fill="auto"/>
          </w:tcPr>
          <w:p w:rsidR="00245CB5" w:rsidRDefault="00245CB5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45CB5">
        <w:tc>
          <w:tcPr>
            <w:tcW w:w="1695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1) планирование деятельности органа власти</w:t>
            </w:r>
          </w:p>
        </w:tc>
        <w:tc>
          <w:tcPr>
            <w:tcW w:w="2694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Стратегическая цель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вида контроля (надзора) сформулирована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соответствии с определенными законодательством   задачами контрольно-надзорных органов  по обеспечению  безопасности охраняемых законом ценностей.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Стратегическая цель вида контроля (надзора) обсуждена и поддержана экспертным сообществом.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публичной дек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ларации целей и задач контрольно-надзорного органа определены соответствующие стратегической цели миссия, цели и задачи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контрольно-надзорного органа.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Миссия, цели и задачи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контрольно-надзорного органа формализованы и преобразованы в утвержденных пока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зателях результативности и эффективности.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Утвержденные показатели результативности дифференцированы по выявленным наиболее опасным рискам.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и профилактические мероприятия осуществляются в соответствии с целями и задачами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контрольно-надзорног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органа  и – для наиболее опасных рисков –  на основе результатов оценки рисков.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наиболее опасным межведомственным рискам устанавливаются межведомственные цели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Референтные группы вовлечены в обсуждение постановки целей,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результатов деятельности,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чества реагирования на риски, актуальности и неизбыточности  обязательных требований.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Пересмотр целевых значений обусловлен повышением уровня безопасности охраняемых законом ценностей  и не может повлечь увеличение уровня риска и ущерба в подконтрольной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фере, а также создавать барьеры для экономического развития.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Утвержденные показатели результативности и эффективности дифференцированы по всем выявленным основным рискам подконтрольной сферы.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организация деятельности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контрольно-надзорного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  основаны на долгосрочных целях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контрольно-надзорного органа.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и профилактические мероприятия  осуществляются в соответствии с долгосрочными целями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контрольно-надзорного органа  и на основе результатов оценки рисков.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Межведомственные цели по межведомственным рискам интерпретированы в межведомственные показатели результативности и эффективности.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системной основе осуществляется</w:t>
            </w: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референтными</w:t>
            </w: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группами, в том числе в целях обмена информацией о рисках.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заимодействие ведется в лаконичной,</w:t>
            </w: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понятной и доступной для целевой аудитории форме.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 вида контроля (надзора) сформулированы и интерпретированы в показатели результативности и эффективности и их целевые значения с учетом необходимости содейс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твия экономическому развитию.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Утвержденные показатели результативности и эффективности дифференцированы по выявленным основным причинам основных рисков подконтрольной сферы.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контрольно-надзорного органа  (включая изменение правового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регулирования, разрешительную деятельность,  контрольные и профилактические мероприятия) осуществляется на основе результатов оценки рисков и ущерба.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взаимодействия  контрольно-надзорного органа с референтными группами положительно оценивается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</w:p>
        </w:tc>
      </w:tr>
      <w:tr w:rsidR="00245CB5">
        <w:trPr>
          <w:trHeight w:val="1266"/>
        </w:trPr>
        <w:tc>
          <w:tcPr>
            <w:tcW w:w="1695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2) управление целями</w:t>
            </w:r>
          </w:p>
        </w:tc>
        <w:tc>
          <w:tcPr>
            <w:tcW w:w="2694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контрольно-надзорном органе сформирован и действует координационный орган (рабочая группа,  совет, комиссия), рассматривающий вопросы планирования и результатов  управления рисками.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деятельности координационного органа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постоянной основе принимают участие представители референтных групп, экспертного сообщества.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Референтные группы на постоянной основе информируются (в том числе путем размещения соответствующей информации в открытом доступе)  по вопросам постановки целей,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характера и результатов деятельности контрольно-надзорного органа в части снижения ущерба охраняемым законом ценностям.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245CB5" w:rsidRDefault="00EF71C4">
            <w:pPr>
              <w:tabs>
                <w:tab w:val="left" w:pos="2197"/>
              </w:tabs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Координационный орган согласует показатели результативности и эффективности и их целевые значения в части соответствия миссии, целям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задачам контрольно-надзорного органа, а также, с точки зрения взаимосвязанности с выявленными наиболее опасными рисками.</w:t>
            </w:r>
          </w:p>
          <w:p w:rsidR="00245CB5" w:rsidRDefault="00245CB5">
            <w:pPr>
              <w:tabs>
                <w:tab w:val="left" w:pos="2197"/>
              </w:tabs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tabs>
                <w:tab w:val="left" w:pos="2197"/>
              </w:tabs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обсуждает наиболее опасные риски, факторы, влияющие на их возникновение, и возможные меры реагирования. </w:t>
            </w:r>
          </w:p>
          <w:p w:rsidR="00245CB5" w:rsidRDefault="00245CB5">
            <w:pPr>
              <w:tabs>
                <w:tab w:val="left" w:pos="2197"/>
              </w:tabs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tabs>
                <w:tab w:val="left" w:pos="2197"/>
              </w:tabs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Коллегия проводит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овместные заседания с другими контрольно-надзорными органами по обсуждению межведомственных рисков.</w:t>
            </w:r>
          </w:p>
          <w:p w:rsidR="00245CB5" w:rsidRDefault="00245CB5">
            <w:pPr>
              <w:tabs>
                <w:tab w:val="left" w:pos="2197"/>
              </w:tabs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tabs>
                <w:tab w:val="left" w:pos="2197"/>
              </w:tabs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Контрольно-надзорные органы размещают в открытом доступе информацию об утвержденных показателях результативности и эффективности, а также публично отчитыва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ются о достижении/недостижении целевых значений показателей результативности и эффективности, в том числе в контексте управления  наиболее опасными рисками.</w:t>
            </w:r>
          </w:p>
          <w:p w:rsidR="00245CB5" w:rsidRDefault="00245CB5">
            <w:pPr>
              <w:tabs>
                <w:tab w:val="left" w:pos="2197"/>
              </w:tabs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пересматривает и утверждает миссию, цели и задачи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контрольно-надзорного органа, рассматр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ивает достижение целей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контрольно-надзорного органа  и показателей, факторы, влияющие на достижение и/или недостижение целей и показателей, одобряет стратегии реагирования на риски.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рисками рассматривается как фактор определения долгосрочных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целей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контрольно-надзорного органа 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tabs>
                <w:tab w:val="left" w:pos="2197"/>
              </w:tabs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Коллегия согласует показатели результативности и эффективности и их целевые значения в части соответствия миссии, целям и задачам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контрольно-надзорного органа, а также, с точки зрения взаимосвязанности с выявленными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основными (управляемыми) рисками.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Контрольно-надзорные органы размещают в открытом доступе информацию об утвержденных показателях результативности и эффективности, а также публично отчитываются о достижении/недостижении целевых значений показателей резуль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тативности и эффективности, в том числе в контексте управления  рисками.</w:t>
            </w:r>
          </w:p>
        </w:tc>
        <w:tc>
          <w:tcPr>
            <w:tcW w:w="3689" w:type="dxa"/>
            <w:shd w:val="clear" w:color="auto" w:fill="auto"/>
          </w:tcPr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Коллегия формализует и актуализирует целеполагание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контрольно-надзорного органа, рассматривает вопросы достижения/недостижения целей, в том числе результативности применяемых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стратегий реагирования на риски, принимает решения об изменении обязательных требований.</w:t>
            </w:r>
          </w:p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Коллегия рассматривает стратегические вопросы управления рисками подконтрольной сферы, с точки зрения обеспечения наибольшей безопасности охраняемых законом ценност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ей: для основных рисков подконтрольной сферы она анализирует иные возможные механизмы регулирования и при наличии подтвержденных данных принимает решение о внедрении таких механизмов, в том числе вместе с отменой вида контроля (надзора).</w:t>
            </w: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Любая информация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рисках и их предотвращении, не относящаяся к охраняемой законом тайне, открыта и доступна для ознакомления и обсуждения всеми заинтересованными лицами.</w:t>
            </w:r>
          </w:p>
          <w:p w:rsidR="00245CB5" w:rsidRDefault="00245C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CB5">
        <w:tc>
          <w:tcPr>
            <w:tcW w:w="14889" w:type="dxa"/>
            <w:gridSpan w:val="5"/>
            <w:shd w:val="clear" w:color="auto" w:fill="auto"/>
          </w:tcPr>
          <w:p w:rsidR="00245CB5" w:rsidRDefault="00245CB5">
            <w:pPr>
              <w:spacing w:after="0" w:line="288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ДАННЫЕ</w:t>
            </w:r>
          </w:p>
          <w:p w:rsidR="00245CB5" w:rsidRDefault="00245CB5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CB5">
        <w:tc>
          <w:tcPr>
            <w:tcW w:w="1695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 элемента</w:t>
            </w:r>
          </w:p>
        </w:tc>
        <w:tc>
          <w:tcPr>
            <w:tcW w:w="2694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1</w:t>
            </w:r>
          </w:p>
        </w:tc>
        <w:tc>
          <w:tcPr>
            <w:tcW w:w="3259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2</w:t>
            </w:r>
          </w:p>
        </w:tc>
        <w:tc>
          <w:tcPr>
            <w:tcW w:w="3552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3</w:t>
            </w:r>
          </w:p>
        </w:tc>
        <w:tc>
          <w:tcPr>
            <w:tcW w:w="3689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4</w:t>
            </w:r>
          </w:p>
        </w:tc>
      </w:tr>
      <w:tr w:rsidR="00245CB5">
        <w:tc>
          <w:tcPr>
            <w:tcW w:w="1695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1)источники 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качество</w:t>
            </w:r>
          </w:p>
        </w:tc>
        <w:tc>
          <w:tcPr>
            <w:tcW w:w="2694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итогам проведенной инвентаризации данные и их источники упорядочены, исключены избыточные, определены  типы недостающих данных и источники их получения.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межведомственного взаимодействия осуществляется обмен сведениями, имеющимися в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споряжении других органов.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Используемые данные  - не от первоисточников. </w:t>
            </w:r>
          </w:p>
          <w:p w:rsidR="00245CB5" w:rsidRDefault="00245CB5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данных проверяется ситуативно в «ручном режиме».</w:t>
            </w:r>
          </w:p>
          <w:p w:rsidR="00245CB5" w:rsidRDefault="00245CB5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Определены наборы собираемых данных, необходимых для управления рисками. </w:t>
            </w:r>
          </w:p>
          <w:p w:rsidR="00245CB5" w:rsidRDefault="00245CB5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Обеспечены однократность ввода, невозможность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изменения ранее подтвержденных данных, автоматизированное хранение и обработка данных.</w:t>
            </w:r>
          </w:p>
          <w:p w:rsidR="00245CB5" w:rsidRDefault="00245CB5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межведомственного взаимодействия осуществляется обмен информацией о рисках, межведомственное согласование профилей (карт) рисков.</w:t>
            </w:r>
          </w:p>
        </w:tc>
        <w:tc>
          <w:tcPr>
            <w:tcW w:w="3552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Массивы больших данных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(BigData) используются в качестве одного из источников данных.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автоматизация сбора и учета необходимых данных.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данных обеспечивается, в том числе перекрестных сравнением.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Разработаны и применяются механизмы постоянного совершенствован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точности, достоверности и полезности используемых данных.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межведомственного взаимодействия осуществляется совместная эксплуатация информации о межведомственных рисках.</w:t>
            </w:r>
          </w:p>
        </w:tc>
        <w:tc>
          <w:tcPr>
            <w:tcW w:w="3689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данных по наиболее опасным  рискам проводится с помощью «интернета вещ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ей», промышленного «интернета вещей».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данных осуществляется, в том числе с помощью технологий искусственного интеллекта и анализа массива больших данных (BigData).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межведомственного взаимодействия осуществляется централизованный̆ проце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 управления информацией о национальных рисках.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Обеспечена согласованность источников данных между различными ведомствами.</w:t>
            </w:r>
          </w:p>
        </w:tc>
      </w:tr>
      <w:tr w:rsidR="00245CB5">
        <w:tc>
          <w:tcPr>
            <w:tcW w:w="1695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2) обоснование решений</w:t>
            </w:r>
          </w:p>
        </w:tc>
        <w:tc>
          <w:tcPr>
            <w:tcW w:w="2694" w:type="dxa"/>
            <w:shd w:val="clear" w:color="auto" w:fill="auto"/>
          </w:tcPr>
          <w:p w:rsidR="00245CB5" w:rsidRDefault="00EF71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принятии решений контрольно-надзорные органы руководствуются преимущественно статистической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информацией, количественно характеризующей контрольно-надзорную деятельность,  и оперативно  поступающей информацией.</w:t>
            </w: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не охватывают всю подконтрольную сферу, в том числе в части сведений об уровне и характере ущерба охраняемым законом ценностям, 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рактеристиках  подконтрольных субъектов (объектов).</w:t>
            </w:r>
          </w:p>
        </w:tc>
        <w:tc>
          <w:tcPr>
            <w:tcW w:w="3259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принятии решений контрольно-надзорные органы руководствуются информацией, качественно характеризующей контрольно-надзорную деятельность.</w:t>
            </w:r>
          </w:p>
          <w:p w:rsidR="00245CB5" w:rsidRDefault="00245CB5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относятся ко всей подконтрольной сфере и отражают харак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теристики подконтрольной среды, в том числе уровень ущерба, причины реализации рисков, типизацию подконтрольных субъектов (объектов),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наиболее часто встречающиеся нарушения обязательных требований, следствием которых было причинение вреда охраняемым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 ценностям, и т.п., и соответствующие данные в совокупности могут служить безусловным основанием принятия решения.</w:t>
            </w:r>
          </w:p>
          <w:p w:rsidR="00245CB5" w:rsidRDefault="00245CB5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Достоверность и объективность данных обеспечивается их верифицируемостью.</w:t>
            </w:r>
          </w:p>
          <w:p w:rsidR="00245CB5" w:rsidRDefault="00245CB5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данные, обосновывающие решения контрольно-надзорного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органа, достоверны, объективны и успешно прошли внешний анализ.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решения контрольно-надзорного органа по рискам подконтрольной сферы в зависимости от характеристик риска обоснованы, в том числе метаданными, результатами предиктивной аналитики, данными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полученными с помощью «интернета вещей», промышленного «интернета вещей», в результате  анализа массива больших данных (BigData), а также по итогам обработки данных с помощью искусственного интеллекта.</w:t>
            </w:r>
          </w:p>
        </w:tc>
      </w:tr>
    </w:tbl>
    <w:tbl>
      <w:tblPr>
        <w:tblStyle w:val="12"/>
        <w:tblW w:w="14885" w:type="dxa"/>
        <w:tblInd w:w="-318" w:type="dxa"/>
        <w:tblLook w:val="04A0" w:firstRow="1" w:lastRow="0" w:firstColumn="1" w:lastColumn="0" w:noHBand="0" w:noVBand="1"/>
      </w:tblPr>
      <w:tblGrid>
        <w:gridCol w:w="1985"/>
        <w:gridCol w:w="2409"/>
        <w:gridCol w:w="2835"/>
        <w:gridCol w:w="3968"/>
        <w:gridCol w:w="3688"/>
      </w:tblGrid>
      <w:tr w:rsidR="00245CB5">
        <w:tc>
          <w:tcPr>
            <w:tcW w:w="14885" w:type="dxa"/>
            <w:gridSpan w:val="5"/>
            <w:shd w:val="clear" w:color="auto" w:fill="auto"/>
          </w:tcPr>
          <w:p w:rsidR="00245CB5" w:rsidRDefault="00245CB5">
            <w:pPr>
              <w:spacing w:after="0" w:line="288" w:lineRule="auto"/>
              <w:contextualSpacing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. ПРОЦЕСС УПРАВЛЕНИЯ РИСКАМИ </w:t>
            </w:r>
          </w:p>
          <w:p w:rsidR="00245CB5" w:rsidRDefault="00245CB5">
            <w:pPr>
              <w:spacing w:after="0" w:line="288" w:lineRule="auto"/>
              <w:contextualSpacing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  <w:tr w:rsidR="00245CB5">
        <w:tc>
          <w:tcPr>
            <w:tcW w:w="1985" w:type="dxa"/>
            <w:shd w:val="clear" w:color="auto" w:fill="auto"/>
          </w:tcPr>
          <w:p w:rsidR="00245CB5" w:rsidRDefault="00EF71C4">
            <w:pPr>
              <w:spacing w:after="0" w:line="288" w:lineRule="auto"/>
              <w:jc w:val="both"/>
              <w:rPr>
                <w:rFonts w:ascii="Times New Roman" w:eastAsia="Cambr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>1)идентификация, анализ и ранжирование рисков</w:t>
            </w: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Выявлены наиболее опасные риски подконтрольной сферы, основанные на ранее произошедших событиях, повлекших причинение вреда охраняемым законом ценностям.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Проанализирована подконтрольная среда, в том числе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определены основные источники возникновения событий, вследствие которых причиняется вред охраняемым законом ценностям; собрана и ранжирована информация о характеристиках подконтрольных субъектов (объектов), влияющих на причинение вреда охраняемым законом ц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енностям.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Сформирован исчерпывающий перечень объектов (субъектов) контроля (надзора).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Каждому подконтрольному субъекту (объекту) присвоена соответствующая ему категория риска (класс опасности).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Учитывается причиненный ущерб охраняемым законом ценностям,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 выявляются и анализируются  основные обстоятельства  его возникновения.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Утвержденные критерии риска основаны  на результатах анализа обстоятельств причиненного ущерба охраняемым законом ценностям.</w:t>
            </w:r>
          </w:p>
        </w:tc>
        <w:tc>
          <w:tcPr>
            <w:tcW w:w="2835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Выявлены, проанализированы  и приоритизированы все риск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и подконтрольной сферы, основанные на ранее произошедших событиях, повлекших причинение вреда охраняемым законом ценностям.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Контрольно-надзорный орган учитывает ущерб по утвержденным показателям результативности и эффективности.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Выявляются и анализируются причины наиболее опасных реализовавшихся рисков. </w:t>
            </w: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Причины наиболее опасных рисков определены и проанализированы. Выявлены те причины, на которые можно воздействовать с помощью контрольно-надзорной деятельности. Для «неуправляемых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» причин рисков проанализированы,  определены пути их устранения.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Критерии риска актуализированы на основании результатов анализа и приоритизации рисков и отражают соответствующие уровням риска параметры подконтрольных субъектов (объектов). </w:t>
            </w: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Для наиболее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опасных рисков критерии риска учитывают также причины их реализации.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 случае применения внеплановых мер реагирования утверждены и используются индикаторы риска и/или иные предусмотренные законом аналогичные инструменты, основанные на результатах анализа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обстоятельств реализации событий, повлекших причинение вреда охраняемым законом ценностям.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Эпизодически проводится мониторинг и анализ состояния подконтрольной среды, в том числе на предмет выявления в  деятельности подконтрольных субъектов (объектов) но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вых параметров  (например, использование новых технологий производства), применение которых может привести к возникновению событий, влекущих причинение вреда охраняемым законом ценностям.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Реестр подконтрольных субъектов (объектов) периодически актуализиру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ется.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Выявлены, проанализированы  и приоритизированы все основные риски подконтрольной сферы, основанные на ранее произошедших событиях, в том числе не повлекших причинение вреда охраняемым законом ценностям.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Выявляются и учитываются новые, ранее не реа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лизованные риски.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Выявлены, проанализированы и ранжированы по значимости причины основных рисков, в  том числе не повлекших причинение ущерба охраняемым законом ценностям.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Для основных рисков сформированы планы реагирования, включающие обоснование и поря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док реализации стратегий и мер реагирования.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Критерии риска актуализированы на основании результатов анализа и ранжирования причин рисков.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Индикаторы риска  и иные инструменты внепланового реагирования основаны на результатах анализа обстоятельств реализ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ации рисков, в том числе не повлекших причинение вреда охраняемым законом ценностям, и комплексного анализа подконтрольной среды. </w:t>
            </w: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Проводится мониторинг и анализ состояния подконтрольной среды, в том числе на предмет выявления в  деятельности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подконтрольных субъектов (объектов) новых параметров, применение которых может привести к возникновению рисков причинения вреда охраняемым законом ценностям.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Реестр подконтрольных субъектов (объектов) актуализируется на постоянной основе.</w:t>
            </w:r>
          </w:p>
        </w:tc>
        <w:tc>
          <w:tcPr>
            <w:tcW w:w="3688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Все риски подкон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трольной сферы, включая новые и возникающие риски,  выявлены, проанализированы и приоритизированы, в том числе с использованием сценарного моделирования и планирования и являются основой деятельности контрольно-надзорного органа.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Реестр подконтрольных су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бъектов (объектов) актуализируется автоматически с помощью единой информационной среды органов государственной власти.</w:t>
            </w:r>
          </w:p>
        </w:tc>
      </w:tr>
      <w:tr w:rsidR="00245CB5">
        <w:tc>
          <w:tcPr>
            <w:tcW w:w="1985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ambria" w:hAnsi="Times New Roman" w:cs="Times New Roman"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 xml:space="preserve">) реагирование на риски  </w:t>
            </w:r>
          </w:p>
        </w:tc>
        <w:tc>
          <w:tcPr>
            <w:tcW w:w="2409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Плановые проверки проводятся в зависимости от распределения субъектов (объектов) по категориям риска.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Мероприятия по контролю без взаимодействия с подконтрольными субъектами проводятся на основании заданий, сформированных в зависимости от распределения субъектов (объектов) по категориям риска.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Реализуются предусмотренные законом  профилактические меры «ма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ссового» характера, которые учитывают  распределение субъектов (объектов) по категориям риска.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Внеплановые проверки, инициируемые на основании мотивированного представления должностного лица контрольно-надзорного органа, проводятся только  в случае наличи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я подтвержденных данных о причинении или реальной угрозе причинения вреда охраняемым законом ценностям.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Исключены случаи проведения внеплановых проверок на основании поступления в ведомство информации о нарушении обязательных требований без проведения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предварительной проверки.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Для наиболее опасных реализовавшихся рисков организация и проведение плановых мероприятий по контролю и профилактике осуществляются в зависимости от распределения субъектов (объектов) по категориям риска, и такие мероприятия адре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сованы подконтрольным субъектам (объектам) с высоким уровнем риска.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По факту причинения вреда охраняемым законом ценностям или в связи с наличием обстоятельств, объективно свидетельствующих об угрозе причинения вреда охраняемым законом ценностям, проводят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ся внеплановые мероприятия по контролю.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Ведется мониторинг и анализ применения критериев и индикаторов риска и/или иных предусмотренных законом аналогичных инструментов на предмет их влияния на  снижение масштаба и объема вреда, причиняемого охраняемым з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аконом ценностям.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Проведен комплексный анализ системы обязательных требований в подконтрольной сфере на предмет выявления избыточных и дублирующих обязательных требований; по итогам анализа контрольно-надзорным органом подготовлены проекты необходимых изм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енений и обеспечено  корректирование правового регулирования.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Для устранения «неуправляемых» причин рисков предприняты необходимые меры, в том числе внесены изменения в обязательные требования.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 рамках каждой стратегии реагирования проведен анализ возмо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жных мер реагирования, снижающих вероятность реализации риска, и выбраны те, применение которых требует неизбыточных ресурсных затрат контрольно-надзорного органа и влечет минимальную административную и финансовую нагрузку на подконтрольных субъектов.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Пла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новые мероприятия по контролю направлены на стимулирование добросовестного поведения подконтрольных субъектов.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Ведется мониторинг и анализ применения критериев и индикаторов риска, стратегий и мер реагирования на предмет их влияния на  снижение масштаба и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объема вреда, причиняемого охраняемым законом ценностям.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По итогам комплексного анализа системы обязательных требований в подконтрольной сфере на предмет выявления малозначимых и неэффективных обязательных требований обеспечено необходимое  корректирован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ие правового регулирования.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shd w:val="clear" w:color="auto" w:fill="auto"/>
          </w:tcPr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Для видов контроля с «массовыми» рисками,  связанными с действием социокультурных факторов, выстроена  система реагирования на риски, исключающая случаи причинения значительного вреда охраняемым законом ценностям.  </w:t>
            </w: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Стратегии, меры реагирования на риски дифференцированы в зависимости от рисков и особенностей подконтрольной сферы. </w:t>
            </w: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Изменения нормативного регулирования и меры реагирования направлены на стимулирование добросовестного поведения подконтрольных субъектов.</w:t>
            </w: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Все обязательные требования подконтрольной сферы основаны на причинах основных рисков.</w:t>
            </w:r>
          </w:p>
          <w:p w:rsidR="00245CB5" w:rsidRDefault="00245CB5">
            <w:pPr>
              <w:tabs>
                <w:tab w:val="left" w:pos="976"/>
              </w:tabs>
              <w:spacing w:after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tabs>
                <w:tab w:val="left" w:pos="976"/>
              </w:tabs>
              <w:spacing w:after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tabs>
                <w:tab w:val="left" w:pos="976"/>
              </w:tabs>
              <w:spacing w:after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245CB5">
        <w:tc>
          <w:tcPr>
            <w:tcW w:w="14885" w:type="dxa"/>
            <w:gridSpan w:val="5"/>
            <w:shd w:val="clear" w:color="auto" w:fill="auto"/>
          </w:tcPr>
          <w:p w:rsidR="00245CB5" w:rsidRDefault="00245CB5">
            <w:pPr>
              <w:spacing w:after="0" w:line="288" w:lineRule="auto"/>
              <w:contextualSpacing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. ИНФРАСТРУКТУРА </w:t>
            </w:r>
          </w:p>
          <w:p w:rsidR="00245CB5" w:rsidRDefault="00245CB5">
            <w:pPr>
              <w:spacing w:after="0" w:line="288" w:lineRule="auto"/>
              <w:contextualSpacing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</w:tc>
      </w:tr>
      <w:tr w:rsidR="00245CB5">
        <w:tc>
          <w:tcPr>
            <w:tcW w:w="1985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 xml:space="preserve">1) регламентация управления рисками </w:t>
            </w:r>
          </w:p>
        </w:tc>
        <w:tc>
          <w:tcPr>
            <w:tcW w:w="2409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Положения законодательства, включая соответствующие им подзаконные нормативные правовые акты, позволяют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определить и сформулировать целеполагание контрольно-надзорного органа, осуществлять сбор, обработку и хранение необходимых данных, в том числе по ущербу, проверять и обеспечивать качество данных на уровне контрольно-надзорного органа, выявлять, анализиро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вать и ранжировать  риски, утверждать критерии, индикаторы риска,  реагировать на риски с помощью предусмотренных законодательством инструментов, включая применяемые в рамках межведомственного взаимодействия.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Вид контроля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урегулирован федеральным законом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положением о виде контроля (надзора) и административным регламентом.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 положении о виде контроля (надзора) отражены все меры реагирования на риски в рамках контрольной и профилактической деятельности контрольно-надзорного органа.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В административном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регламенте (или в ином предусмотренном законом аналогичном документе содержится описание ключевых административных процессов, связанных с управлением рисками.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Подзаконным нормативным правовым актом урегулированы вопросы сбора, обработки, верификации данны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х.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Ведомственным нормативным правовым актом определены функции и полномочия структурных подразделений и сотрудников контрольно-надзорного органа в части управления рисками.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Положения законодательства, включая подзаконные нормативные правовые акты, позво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ляют верифицировать наборы данных, в том числе с помощью внешней экспертизы, применять автоматизированные системы сбора, обработки, хранения и проверки  данных и их источников, проводить анализ массива больших данных (</w:t>
            </w:r>
            <w:r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Big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Data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) и применять его результаты в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качестве источника сведений, необходимых для управления рисками, определять наиболее оптимальные и реализовывать стратегии и меры реагирования на риски.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Все административные процессы, включая вертикальное и горизонтальное распределение ролей, обмен инфор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мацией  и принятие решений, формализованы и описаны с учетом  долгосрочных целей  контрольно-надзорного органа и включают в себя управление рисками.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</w:tcPr>
          <w:p w:rsidR="00245CB5" w:rsidRDefault="00EF71C4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Положения законодательства, включая подзаконные нормативные правовые акты, в части управления рисками корр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ектируются, в том числе с учетом лучших мировых практик, а также обеспечивая возможность применения современных цифровых инструментов «интеллектуального» контроля.</w:t>
            </w: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б</w:t>
            </w: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312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Положения законодательства, включая подзаконные нормативные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правовые акты, в части управления рисками корректируются, в том числе с учетом лучших мировых практик, а также обеспечивая возможность применения современных цифровых инструментов «интеллектуального» контроля.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245CB5">
        <w:tc>
          <w:tcPr>
            <w:tcW w:w="1985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>2) кадры</w:t>
            </w:r>
          </w:p>
        </w:tc>
        <w:tc>
          <w:tcPr>
            <w:tcW w:w="2409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Определены сотрудники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контрольно-надзорного органа, участвующие в организации и непосредственном осуществлении процесса управления рисками, включая необходимую аналитическую работу.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Данные сотрудники ознакомлены и подтвердили знание и понимание основ управления рисками в соотв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етствии с настоящим Стандартом.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Ряд руководителей ведомства прошли обучение настоящему Стандарту.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Кадровые решения по указанным сотрудникам учитывают результаты управления рисками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45CB5" w:rsidRDefault="00EF71C4">
            <w:pPr>
              <w:spacing w:after="0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 положениях о структурных подразделениях, и о  территориальных органах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определены их функции по  управлению рисками.</w:t>
            </w: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Для сотрудников контрольно-надзорного органа, участвующих в управлении рисками,  организовано и проведено обучение организации и реализации процесса управления рисками, включая методологию процесса и разработ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ку и применение инструментов управления рисками. </w:t>
            </w: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Выстроена система постоянного получения внешних консультаций по сложным методологическим и методическим вопросам. </w:t>
            </w: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Утверждены образовательные программы повышения навыков и компетенций по управлению рискам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 для сотрудников. </w:t>
            </w:r>
          </w:p>
          <w:p w:rsidR="00245CB5" w:rsidRDefault="00EF71C4">
            <w:pPr>
              <w:tabs>
                <w:tab w:val="left" w:pos="1860"/>
              </w:tabs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ab/>
            </w:r>
          </w:p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Материальное стимулирование высшего руководящего состава учитывает результаты по управлению рисками в вверенных им подразделениях.</w:t>
            </w: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Материальное стимулирование сотрудников структурных подразделений учитывает результаты подразделений п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о управлению рисками.</w:t>
            </w:r>
          </w:p>
          <w:p w:rsidR="00245CB5" w:rsidRDefault="00245CB5">
            <w:pPr>
              <w:spacing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Функциональные обязанности по управлению рисками, а также индивидуальные ключевые показатели эффективности содержатся в должностных регламентах сотрудников.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Обучение управлению рисками прошли, в том числе сотрудники непрофильных под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разделений ведомства, включая кадровое и финансовое подразделения, исходя из их функционала.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Сотрудники контрольно-надзорного органа, участвующие в управлении рисками, подтвердили квалификацию в зависимости от своего функционала.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Сформирована ведомственн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ая база знаний по управлению рисками, открытая для всех сотрудников контрольно-надзорного органа. 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Система индивидуального стимулирования и кадровых решений руководящего состава контрольно-надзорного органа, а также ключевых сотрудников, участвующих в управлении рисками, учитывает эффективность управления рисками. </w:t>
            </w: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688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 контрольно-надзорном органе внедр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ена автоматизированная система управления компетенциями,  в том числе формирующая ключевые  требования к сотрудникам контрольно-надзорного органа.  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В контрольно-надзорном органе на системной основе функционирует передача навыков и компетенций по управл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ению рисками, включая институт наставничества, обмен лучшими практиками, библиотеки знаний и т.п.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Система индивидуального стимулирования кадрового состава учитывает: </w:t>
            </w: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1) результаты контрольно-надзорного органа по достижению целей деятельности; </w:t>
            </w: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2) личный вклад каждого сотрудника в достижение этих целей в зависимости от обязанностей, предусмотренных должностным регламентом. </w:t>
            </w:r>
          </w:p>
        </w:tc>
      </w:tr>
      <w:tr w:rsidR="00245CB5">
        <w:tc>
          <w:tcPr>
            <w:tcW w:w="1985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 xml:space="preserve">3) экспертно- аналитическое сопровождение 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Экспертно-аналитическое сопровождение используется, в том  числе для участия в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определении целей вида контроля (надзора), в анализе подконтрольной среды, в выявлении рисков, разработке критериев риска, в определении наборов данных, необходимых для управления рисками.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Экспертно-аналитическое сопровождение используется, в том числе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для участия в анализе, формализации,  синхронизации и преобразовании в показатели результативности и эффективности целеполагания контрольно-надзорного органа,  в анализе источников и наборов данных, в проработке и реализации вспомогательных и ключевых этап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ов процесса управления рисками, в</w:t>
            </w:r>
            <w:r>
              <w:t xml:space="preserve">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анализе обязательных требований подконтрольной сферы, в разработке образовательных программ по управлению рисками для сотрудников контрольно-надзорного органа.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Экспертно-аналитическое сопровождение используется, в том числе для участия во внешней экспертизе используемых данных, в анализе массивов больших данных (BigData), выявлении новых и возникающих рисков, определении стратегий реагирования на риски. 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shd w:val="clear" w:color="auto" w:fill="auto"/>
          </w:tcPr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Экспер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тно-аналитическое сопровождение используется, в том числе для участия в предиктивном анализе, для работы с применением искусственного интеллекта и иных современных цифровых инструментов.</w:t>
            </w:r>
          </w:p>
          <w:p w:rsidR="00245CB5" w:rsidRDefault="00245CB5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245CB5" w:rsidRDefault="00EF71C4">
            <w:pPr>
              <w:spacing w:after="0" w:line="288" w:lineRule="auto"/>
              <w:contextualSpacing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Эксперты принимают участие в анализе проектов стратегических решений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по управлению рисками. Коллегия учитывает позицию экспертов при принятии решений. </w:t>
            </w:r>
          </w:p>
        </w:tc>
      </w:tr>
    </w:tbl>
    <w:p w:rsidR="00245CB5" w:rsidRDefault="00245CB5">
      <w:pPr>
        <w:spacing w:after="0" w:line="288" w:lineRule="auto"/>
        <w:contextualSpacing/>
        <w:jc w:val="both"/>
        <w:rPr>
          <w:rFonts w:ascii="Times New Roman" w:eastAsia="Cambria" w:hAnsi="Times New Roman" w:cs="Times New Roman"/>
          <w:sz w:val="26"/>
          <w:szCs w:val="26"/>
        </w:rPr>
      </w:pPr>
    </w:p>
    <w:p w:rsidR="00245CB5" w:rsidRDefault="00245CB5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5CB5" w:rsidRDefault="00245CB5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  <w:sectPr w:rsidR="00245CB5">
          <w:footerReference w:type="default" r:id="rId17"/>
          <w:pgSz w:w="16838" w:h="11906" w:orient="landscape"/>
          <w:pgMar w:top="567" w:right="1440" w:bottom="1134" w:left="1440" w:header="0" w:footer="0" w:gutter="0"/>
          <w:cols w:space="720"/>
          <w:formProt w:val="0"/>
          <w:docGrid w:linePitch="100" w:charSpace="4096"/>
        </w:sectPr>
      </w:pPr>
    </w:p>
    <w:p w:rsidR="00245CB5" w:rsidRDefault="00EF71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23" w:name="_Toc792383"/>
      <w:r>
        <w:rPr>
          <w:rFonts w:ascii="Times New Roman" w:hAnsi="Times New Roman" w:cs="Times New Roman"/>
          <w:sz w:val="26"/>
          <w:szCs w:val="26"/>
        </w:rPr>
        <w:t>Список источников</w:t>
      </w:r>
      <w:bookmarkEnd w:id="23"/>
    </w:p>
    <w:p w:rsidR="00245CB5" w:rsidRDefault="00245CB5"/>
    <w:p w:rsidR="00245CB5" w:rsidRDefault="00EF71C4">
      <w:pPr>
        <w:pStyle w:val="afb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ГОСТ Р ИСО/МЭК 31010—2011 «Менеджмент риска. Методы оценки риска».</w:t>
      </w:r>
    </w:p>
    <w:p w:rsidR="00245CB5" w:rsidRDefault="00EF71C4">
      <w:pPr>
        <w:pStyle w:val="afb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Международный стандарт ИСО </w:t>
      </w:r>
      <w:r>
        <w:rPr>
          <w:rFonts w:ascii="Times New Roman" w:hAnsi="Times New Roman" w:cs="Times New Roman"/>
          <w:sz w:val="26"/>
          <w:szCs w:val="26"/>
        </w:rPr>
        <w:t>31000-2018 «Менеджмент риска. Руководство».</w:t>
      </w:r>
    </w:p>
    <w:p w:rsidR="00245CB5" w:rsidRDefault="00EF71C4">
      <w:pPr>
        <w:pStyle w:val="afb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Нассим Николас Талеб. Черный лебедь. Под знаком непредсказуемости. М., 2018.</w:t>
      </w:r>
    </w:p>
    <w:p w:rsidR="00245CB5" w:rsidRDefault="00EF71C4">
      <w:pPr>
        <w:pStyle w:val="afb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Сидоренко А., Демиденко Е., Как создать ценность для бизнеса от риск-менеджмента 2.0, </w:t>
      </w:r>
      <w:hyperlink r:id="rId18">
        <w:r>
          <w:rPr>
            <w:rStyle w:val="ListLabel20"/>
          </w:rPr>
          <w:t>https</w:t>
        </w:r>
        <w:r>
          <w:rPr>
            <w:rStyle w:val="ListLabel20"/>
          </w:rPr>
          <w:t>://risk-academy.ru/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245CB5" w:rsidRDefault="00EF71C4">
      <w:pPr>
        <w:pStyle w:val="afb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Сводный отчет о внедрении риск-ориентированного подхода по итогам 2017 года //  </w:t>
      </w:r>
      <w:hyperlink r:id="rId19">
        <w:r>
          <w:rPr>
            <w:rStyle w:val="ListLabel20"/>
          </w:rPr>
          <w:t>http://ar.gov.ru/ru-RU/document/default/view/512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245CB5" w:rsidRDefault="00EF71C4">
      <w:pPr>
        <w:pStyle w:val="afb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рисками в системах нормативного регулирования, Европейская экономическая комиссия Организации Объединённых Наций, 2014  // </w:t>
      </w:r>
      <w:hyperlink r:id="rId20">
        <w:r>
          <w:rPr>
            <w:rStyle w:val="ListLabel20"/>
          </w:rPr>
          <w:t>https://www.unece.org/fil</w:t>
        </w:r>
        <w:r>
          <w:rPr>
            <w:rStyle w:val="ListLabel20"/>
          </w:rPr>
          <w:t>eadmin/DAM/trade/Publications/WP6_ECE_TRADE_390R.pdf</w:t>
        </w:r>
      </w:hyperlink>
      <w:r>
        <w:rPr>
          <w:rFonts w:ascii="Times New Roman" w:hAnsi="Times New Roman" w:cs="Times New Roman"/>
          <w:color w:val="0000FF" w:themeColor="hyperlink"/>
          <w:sz w:val="26"/>
          <w:szCs w:val="26"/>
          <w:u w:val="single"/>
        </w:rPr>
        <w:t xml:space="preserve"> .</w:t>
      </w:r>
    </w:p>
    <w:p w:rsidR="00245CB5" w:rsidRDefault="00EF71C4">
      <w:pPr>
        <w:pStyle w:val="afb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Khwaja M. S., Awasthi  R., Loeprick  J., Risk-Based Tax Audits: Approaches and Country Experiences , The World Bank, 2011.</w:t>
      </w:r>
    </w:p>
    <w:p w:rsidR="00245CB5" w:rsidRDefault="00EF71C4">
      <w:pPr>
        <w:pStyle w:val="afb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Aven T. (2016), «Risk assessment and risk management: Review of recent advance</w:t>
      </w:r>
      <w:r>
        <w:rPr>
          <w:rFonts w:ascii="Times New Roman" w:hAnsi="Times New Roman" w:cs="Times New Roman"/>
          <w:sz w:val="26"/>
          <w:szCs w:val="26"/>
          <w:lang w:val="en-US"/>
        </w:rPr>
        <w:t>s on their foundation», European Journal of Operational Research 253 (2016) 1–13.</w:t>
      </w:r>
    </w:p>
    <w:p w:rsidR="00245CB5" w:rsidRDefault="00EF71C4">
      <w:pPr>
        <w:pStyle w:val="afb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Blanc, F.O.M. (2016), From chasing violations to managing risks : origins, challenges and evolutions in regulatory inspections, </w:t>
      </w:r>
      <w:hyperlink r:id="rId21">
        <w:r>
          <w:rPr>
            <w:rStyle w:val="ListLabel21"/>
          </w:rPr>
          <w:t>http://hdl.handle.net/1887/44710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.</w:t>
      </w:r>
    </w:p>
    <w:p w:rsidR="00245CB5" w:rsidRDefault="00EF71C4">
      <w:pPr>
        <w:pStyle w:val="afb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Delivering Government Solutions in the 21st Century: Reform Plan and Reorganization Recommendations, 2017,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http:// </w:t>
      </w:r>
      <w:hyperlink r:id="rId22">
        <w:r>
          <w:rPr>
            <w:rStyle w:val="ListLabel21"/>
          </w:rPr>
          <w:t>www.whitehouse.gov/omb/management/GovReform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.  </w:t>
      </w:r>
    </w:p>
    <w:p w:rsidR="00245CB5" w:rsidRDefault="00EF71C4">
      <w:pPr>
        <w:pStyle w:val="afb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Risk-Based Method for Prioritizing CGMP Inspections of Pharmaceutical Manufacturing Sites — A Pilot Risk Ranking Mo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del, Department of Health and Human Services U.S. Food and Drug Administration, 2014. </w:t>
      </w:r>
    </w:p>
    <w:p w:rsidR="00245CB5" w:rsidRDefault="00EF71C4">
      <w:pPr>
        <w:pStyle w:val="afb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Robert B. Wallace,  Maria Oria, Enhancing Food Safety: The Role of the Food and Drug Administration, The National Academies Press, 2010. </w:t>
      </w:r>
    </w:p>
    <w:p w:rsidR="00245CB5" w:rsidRDefault="00245CB5">
      <w:pPr>
        <w:spacing w:line="312" w:lineRule="auto"/>
        <w:jc w:val="both"/>
      </w:pPr>
    </w:p>
    <w:sectPr w:rsidR="00245CB5">
      <w:footerReference w:type="default" r:id="rId23"/>
      <w:pgSz w:w="11906" w:h="16838"/>
      <w:pgMar w:top="1440" w:right="567" w:bottom="1440" w:left="1134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71C4">
      <w:pPr>
        <w:spacing w:after="0" w:line="240" w:lineRule="auto"/>
      </w:pPr>
      <w:r>
        <w:separator/>
      </w:r>
    </w:p>
  </w:endnote>
  <w:endnote w:type="continuationSeparator" w:id="0">
    <w:p w:rsidR="00000000" w:rsidRDefault="00EF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Times">
    <w:altName w:val="Times New Roman"/>
    <w:panose1 w:val="02020603050405020304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784356"/>
      <w:docPartObj>
        <w:docPartGallery w:val="Page Numbers (Bottom of Page)"/>
        <w:docPartUnique/>
      </w:docPartObj>
    </w:sdtPr>
    <w:sdtEndPr/>
    <w:sdtContent>
      <w:p w:rsidR="00245CB5" w:rsidRDefault="00EF71C4">
        <w:pPr>
          <w:pStyle w:val="a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245CB5" w:rsidRDefault="00EF71C4">
        <w:pPr>
          <w:pStyle w:val="a6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579072"/>
      <w:docPartObj>
        <w:docPartGallery w:val="Page Numbers (Bottom of Page)"/>
        <w:docPartUnique/>
      </w:docPartObj>
    </w:sdtPr>
    <w:sdtEndPr/>
    <w:sdtContent>
      <w:p w:rsidR="00245CB5" w:rsidRDefault="00EF71C4">
        <w:pPr>
          <w:pStyle w:val="a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  <w:p w:rsidR="00245CB5" w:rsidRDefault="00EF71C4">
        <w:pPr>
          <w:pStyle w:val="a6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52130"/>
      <w:docPartObj>
        <w:docPartGallery w:val="Page Numbers (Bottom of Page)"/>
        <w:docPartUnique/>
      </w:docPartObj>
    </w:sdtPr>
    <w:sdtEndPr/>
    <w:sdtContent>
      <w:p w:rsidR="00245CB5" w:rsidRDefault="00EF71C4">
        <w:pPr>
          <w:pStyle w:val="a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57</w:t>
        </w:r>
        <w:r>
          <w:fldChar w:fldCharType="end"/>
        </w:r>
      </w:p>
      <w:p w:rsidR="00245CB5" w:rsidRDefault="00EF71C4">
        <w:pPr>
          <w:pStyle w:val="a6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867275"/>
      <w:docPartObj>
        <w:docPartGallery w:val="Page Numbers (Bottom of Page)"/>
        <w:docPartUnique/>
      </w:docPartObj>
    </w:sdtPr>
    <w:sdtEndPr/>
    <w:sdtContent>
      <w:p w:rsidR="00245CB5" w:rsidRDefault="00EF71C4">
        <w:pPr>
          <w:pStyle w:val="a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74</w:t>
        </w:r>
        <w:r>
          <w:fldChar w:fldCharType="end"/>
        </w:r>
      </w:p>
      <w:p w:rsidR="00245CB5" w:rsidRDefault="00EF71C4">
        <w:pPr>
          <w:pStyle w:val="a6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50678"/>
      <w:docPartObj>
        <w:docPartGallery w:val="Page Numbers (Bottom of Page)"/>
        <w:docPartUnique/>
      </w:docPartObj>
    </w:sdtPr>
    <w:sdtEndPr/>
    <w:sdtContent>
      <w:p w:rsidR="00245CB5" w:rsidRDefault="00EF71C4">
        <w:pPr>
          <w:pStyle w:val="a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75</w:t>
        </w:r>
        <w:r>
          <w:fldChar w:fldCharType="end"/>
        </w:r>
      </w:p>
      <w:p w:rsidR="00245CB5" w:rsidRDefault="00EF71C4">
        <w:pPr>
          <w:pStyle w:val="a6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B5" w:rsidRDefault="00EF71C4">
      <w:r>
        <w:separator/>
      </w:r>
    </w:p>
  </w:footnote>
  <w:footnote w:type="continuationSeparator" w:id="0">
    <w:p w:rsidR="00245CB5" w:rsidRDefault="00EF71C4">
      <w:r>
        <w:continuationSeparator/>
      </w:r>
    </w:p>
  </w:footnote>
  <w:footnote w:id="1">
    <w:p w:rsidR="00245CB5" w:rsidRDefault="00EF71C4">
      <w:pPr>
        <w:pStyle w:val="a8"/>
        <w:jc w:val="both"/>
      </w:pPr>
      <w:r>
        <w:rPr>
          <w:rStyle w:val="af3"/>
        </w:rPr>
        <w:footnoteRef/>
      </w:r>
      <w:r>
        <w:rPr>
          <w:rStyle w:val="FootnoteCharacters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текущем состоянии внедрения риск-ориентированного подхода см., например, подготовленный Минэкономразвития России Сводный отчет о внедрении риск-ориентированного подхода по итогам 2017 года //  </w:t>
      </w:r>
      <w:hyperlink r:id="rId1">
        <w:r>
          <w:rPr>
            <w:rStyle w:val="-"/>
            <w:rFonts w:ascii="Times New Roman" w:hAnsi="Times New Roman" w:cs="Times New Roman"/>
          </w:rPr>
          <w:t>http://ar.gov.ru/ru-RU/document/default/view/512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2">
    <w:p w:rsidR="00245CB5" w:rsidRDefault="00EF71C4">
      <w:pPr>
        <w:pStyle w:val="a8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rPr>
          <w:rStyle w:val="FootnoteCharacters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Пример взят из публикации «Управление рисками в системах нормативного регулирования», подготовленной Европейской экономической комиссией Организации Объединённых Наций, 2014 г. // </w:t>
      </w:r>
      <w:hyperlink r:id="rId2">
        <w:r>
          <w:rPr>
            <w:rStyle w:val="-"/>
            <w:rFonts w:ascii="Times New Roman" w:hAnsi="Times New Roman" w:cs="Times New Roman"/>
          </w:rPr>
          <w:t>https://www.unece.org/fileadmin/DAM/trade/Publications/WP6_ECE_TRADE_390R.pdf</w:t>
        </w:r>
      </w:hyperlink>
    </w:p>
    <w:p w:rsidR="00245CB5" w:rsidRDefault="00245CB5">
      <w:pPr>
        <w:pStyle w:val="a8"/>
      </w:pPr>
    </w:p>
  </w:footnote>
  <w:footnote w:id="3">
    <w:p w:rsidR="00245CB5" w:rsidRDefault="00EF71C4">
      <w:pPr>
        <w:pStyle w:val="a8"/>
        <w:jc w:val="both"/>
      </w:pPr>
      <w:r>
        <w:rPr>
          <w:rStyle w:val="af3"/>
        </w:rPr>
        <w:footnoteRef/>
      </w:r>
      <w:r>
        <w:rPr>
          <w:rStyle w:val="FootnoteCharacters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Структура риска приведена  в соответствии с пунктом 3.1 Международного стандарта ИСО 31000-20</w:t>
      </w:r>
      <w:r>
        <w:rPr>
          <w:rFonts w:ascii="Times New Roman" w:hAnsi="Times New Roman" w:cs="Times New Roman"/>
        </w:rPr>
        <w:t xml:space="preserve">18 «Менеджмент риска - Руководство». </w:t>
      </w:r>
    </w:p>
  </w:footnote>
  <w:footnote w:id="4">
    <w:p w:rsidR="00245CB5" w:rsidRDefault="00EF71C4">
      <w:pPr>
        <w:pStyle w:val="a8"/>
        <w:jc w:val="both"/>
      </w:pPr>
      <w:r>
        <w:rPr>
          <w:rStyle w:val="af3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ascii="Times New Roman" w:hAnsi="Times New Roman" w:cs="Times New Roman"/>
        </w:rPr>
        <w:t>Базовые элементы управления рисками даны в соответствии со схемой процесса управления рисками, предусмотренной разделом 6 Международного стандарта ИСО 31000-2018 «Менеджмент риска - Руководство», адаптивно примените</w:t>
      </w:r>
      <w:r>
        <w:rPr>
          <w:rFonts w:ascii="Times New Roman" w:hAnsi="Times New Roman" w:cs="Times New Roman"/>
        </w:rPr>
        <w:t>льно к деятельности контрольно-надзорных органов</w:t>
      </w:r>
    </w:p>
  </w:footnote>
  <w:footnote w:id="5">
    <w:p w:rsidR="00245CB5" w:rsidRDefault="00EF71C4">
      <w:pPr>
        <w:pStyle w:val="a8"/>
        <w:jc w:val="both"/>
      </w:pPr>
      <w:r>
        <w:rPr>
          <w:rStyle w:val="af3"/>
        </w:rPr>
        <w:footnoteRef/>
      </w:r>
      <w:r>
        <w:rPr>
          <w:rStyle w:val="FootnoteCharacters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Пример взят из публикации «Управление рисками в системах нормативного регулирования», подготовленной Европейской экономической комиссией Организации Объединённых Наций, 2014 г. // </w:t>
      </w:r>
      <w:hyperlink r:id="rId3">
        <w:r>
          <w:rPr>
            <w:rStyle w:val="-"/>
            <w:rFonts w:ascii="Times New Roman" w:hAnsi="Times New Roman" w:cs="Times New Roman"/>
          </w:rPr>
          <w:t>https://www.unece.org/fileadmin/DAM/trade/Publications/WP6_ECE_TRADE_390R.pdf</w:t>
        </w:r>
      </w:hyperlink>
    </w:p>
  </w:footnote>
  <w:footnote w:id="6">
    <w:p w:rsidR="00245CB5" w:rsidRDefault="00EF71C4">
      <w:pPr>
        <w:pStyle w:val="a8"/>
      </w:pPr>
      <w:r>
        <w:rPr>
          <w:rStyle w:val="af3"/>
        </w:rPr>
        <w:footnoteRef/>
      </w:r>
      <w:r>
        <w:rPr>
          <w:rStyle w:val="FootnoteCharacters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См., например, описание основных методов выявления рисков в  ГОСТ Р ИСО/МЭК 31010—2011 «Менеджмент рис</w:t>
      </w:r>
      <w:r>
        <w:rPr>
          <w:rFonts w:ascii="Times New Roman" w:hAnsi="Times New Roman" w:cs="Times New Roman"/>
        </w:rPr>
        <w:t>ка. Методы оценки риска».</w:t>
      </w:r>
    </w:p>
  </w:footnote>
  <w:footnote w:id="7">
    <w:p w:rsidR="00245CB5" w:rsidRDefault="00EF71C4">
      <w:pPr>
        <w:pStyle w:val="a8"/>
        <w:jc w:val="both"/>
      </w:pPr>
      <w:r>
        <w:rPr>
          <w:rStyle w:val="af3"/>
        </w:rPr>
        <w:footnoteRef/>
      </w:r>
      <w:r>
        <w:rPr>
          <w:rStyle w:val="FootnoteCharacters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Пример взят из публикации «Управление рисками в системах нормативного регулирования», подготовленной Европейской экономической комиссией Организации Объединённых Наций, 2014 г. // </w:t>
      </w:r>
      <w:hyperlink r:id="rId4">
        <w:r>
          <w:rPr>
            <w:rStyle w:val="-"/>
            <w:rFonts w:ascii="Times New Roman" w:hAnsi="Times New Roman" w:cs="Times New Roman"/>
          </w:rPr>
          <w:t>https://www.unece.org/fileadmin/DAM/trade/Publications/WP6_ECE_TRADE_390R.pdf</w:t>
        </w:r>
      </w:hyperlink>
    </w:p>
  </w:footnote>
  <w:footnote w:id="8">
    <w:p w:rsidR="00245CB5" w:rsidRDefault="00EF71C4">
      <w:pPr>
        <w:pStyle w:val="a8"/>
      </w:pPr>
      <w:r>
        <w:rPr>
          <w:rStyle w:val="af3"/>
        </w:rPr>
        <w:footnoteRef/>
      </w:r>
      <w:r>
        <w:rPr>
          <w:rStyle w:val="FootnoteCharacters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Нассим Николас Талеб</w:t>
      </w:r>
      <w:r>
        <w:rPr>
          <w:rFonts w:ascii="Times New Roman" w:hAnsi="Times New Roman" w:cs="Times New Roman"/>
        </w:rPr>
        <w:t>. Черный лебедь. Под знаком непредсказуемости. М., 2018.</w:t>
      </w:r>
    </w:p>
  </w:footnote>
  <w:footnote w:id="9">
    <w:p w:rsidR="00245CB5" w:rsidRDefault="00EF71C4">
      <w:pPr>
        <w:pStyle w:val="a8"/>
        <w:jc w:val="both"/>
      </w:pPr>
      <w:r>
        <w:rPr>
          <w:rStyle w:val="af3"/>
        </w:rPr>
        <w:footnoteRef/>
      </w:r>
      <w:r>
        <w:rPr>
          <w:rStyle w:val="FootnoteCharacters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Подробнее о содержании методов см., например: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Risk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Based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Tax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Audits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Approaches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Country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Experiences</w:t>
      </w:r>
      <w:r>
        <w:rPr>
          <w:rFonts w:ascii="Times New Roman" w:hAnsi="Times New Roman" w:cs="Times New Roman"/>
        </w:rPr>
        <w:t xml:space="preserve"> / 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Khwaja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Awasthi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J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Loeprick</w:t>
      </w:r>
      <w:r>
        <w:rPr>
          <w:rFonts w:ascii="Times New Roman" w:hAnsi="Times New Roman" w:cs="Times New Roman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070"/>
    <w:multiLevelType w:val="multilevel"/>
    <w:tmpl w:val="526A3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1" w15:restartNumberingAfterBreak="0">
    <w:nsid w:val="33755025"/>
    <w:multiLevelType w:val="multilevel"/>
    <w:tmpl w:val="BF7808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A81027"/>
    <w:multiLevelType w:val="multilevel"/>
    <w:tmpl w:val="D012D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3" w15:restartNumberingAfterBreak="0">
    <w:nsid w:val="69731DB4"/>
    <w:multiLevelType w:val="multilevel"/>
    <w:tmpl w:val="99561A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B5"/>
    <w:rsid w:val="00245CB5"/>
    <w:rsid w:val="00E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51019-9910-4D4C-9D1A-3B4BE02C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37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85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0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2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B24A3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2B18B4"/>
  </w:style>
  <w:style w:type="character" w:customStyle="1" w:styleId="a5">
    <w:name w:val="Нижний колонтитул Знак"/>
    <w:basedOn w:val="a0"/>
    <w:link w:val="a6"/>
    <w:uiPriority w:val="99"/>
    <w:qFormat/>
    <w:rsid w:val="002B18B4"/>
  </w:style>
  <w:style w:type="character" w:customStyle="1" w:styleId="a7">
    <w:name w:val="Текст сноски Знак"/>
    <w:basedOn w:val="a0"/>
    <w:link w:val="a8"/>
    <w:uiPriority w:val="99"/>
    <w:qFormat/>
    <w:rsid w:val="006527DF"/>
    <w:rPr>
      <w:sz w:val="20"/>
      <w:szCs w:val="20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6527DF"/>
    <w:rPr>
      <w:vertAlign w:val="superscript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BC7497"/>
    <w:rPr>
      <w:rFonts w:ascii="Lucida Grande" w:hAnsi="Lucida Grande" w:cs="Lucida Grande"/>
      <w:sz w:val="18"/>
      <w:szCs w:val="18"/>
    </w:rPr>
  </w:style>
  <w:style w:type="character" w:styleId="ac">
    <w:name w:val="FollowedHyperlink"/>
    <w:basedOn w:val="a0"/>
    <w:uiPriority w:val="99"/>
    <w:semiHidden/>
    <w:unhideWhenUsed/>
    <w:qFormat/>
    <w:rsid w:val="005B61E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28593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F0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toggle">
    <w:name w:val="toctoggle"/>
    <w:basedOn w:val="a0"/>
    <w:qFormat/>
    <w:rsid w:val="006F00CC"/>
  </w:style>
  <w:style w:type="character" w:customStyle="1" w:styleId="tocnumber">
    <w:name w:val="tocnumber"/>
    <w:basedOn w:val="a0"/>
    <w:qFormat/>
    <w:rsid w:val="006F00CC"/>
  </w:style>
  <w:style w:type="character" w:customStyle="1" w:styleId="toctext">
    <w:name w:val="toctext"/>
    <w:basedOn w:val="a0"/>
    <w:qFormat/>
    <w:rsid w:val="006F00CC"/>
  </w:style>
  <w:style w:type="character" w:customStyle="1" w:styleId="mw-headline">
    <w:name w:val="mw-headline"/>
    <w:basedOn w:val="a0"/>
    <w:qFormat/>
    <w:rsid w:val="006F00CC"/>
  </w:style>
  <w:style w:type="character" w:customStyle="1" w:styleId="mw-editsection">
    <w:name w:val="mw-editsection"/>
    <w:basedOn w:val="a0"/>
    <w:qFormat/>
    <w:rsid w:val="006F00CC"/>
  </w:style>
  <w:style w:type="character" w:customStyle="1" w:styleId="mw-editsection-bracket">
    <w:name w:val="mw-editsection-bracket"/>
    <w:basedOn w:val="a0"/>
    <w:qFormat/>
    <w:rsid w:val="006F00CC"/>
  </w:style>
  <w:style w:type="character" w:customStyle="1" w:styleId="mw-editsection-divider">
    <w:name w:val="mw-editsection-divider"/>
    <w:basedOn w:val="a0"/>
    <w:qFormat/>
    <w:rsid w:val="006F00CC"/>
  </w:style>
  <w:style w:type="character" w:styleId="ad">
    <w:name w:val="annotation reference"/>
    <w:basedOn w:val="a0"/>
    <w:uiPriority w:val="99"/>
    <w:semiHidden/>
    <w:unhideWhenUsed/>
    <w:qFormat/>
    <w:rsid w:val="005E36E6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5E36E6"/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qFormat/>
    <w:rsid w:val="005E36E6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A12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i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i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00FF" w:themeColor="hyperlink"/>
      <w:sz w:val="26"/>
      <w:szCs w:val="26"/>
      <w:u w:val="single"/>
    </w:rPr>
  </w:style>
  <w:style w:type="character" w:customStyle="1" w:styleId="ListLabel21">
    <w:name w:val="ListLabel 21"/>
    <w:qFormat/>
    <w:rPr>
      <w:rFonts w:ascii="Times New Roman" w:hAnsi="Times New Roman" w:cs="Times New Roman"/>
      <w:color w:val="0000FF" w:themeColor="hyperlink"/>
      <w:sz w:val="26"/>
      <w:szCs w:val="26"/>
      <w:u w:val="single"/>
      <w:lang w:val="en-US"/>
    </w:rPr>
  </w:style>
  <w:style w:type="character" w:customStyle="1" w:styleId="af2">
    <w:name w:val="Ссылка указателя"/>
    <w:qFormat/>
  </w:style>
  <w:style w:type="character" w:customStyle="1" w:styleId="af3">
    <w:name w:val="Символ сноски"/>
    <w:qFormat/>
  </w:style>
  <w:style w:type="character" w:customStyle="1" w:styleId="af4">
    <w:name w:val="Привязка концевой сноски"/>
    <w:rPr>
      <w:vertAlign w:val="superscript"/>
    </w:rPr>
  </w:style>
  <w:style w:type="character" w:customStyle="1" w:styleId="af5">
    <w:name w:val="Символ концевой сноски"/>
    <w:qFormat/>
  </w:style>
  <w:style w:type="paragraph" w:styleId="af6">
    <w:name w:val="Title"/>
    <w:basedOn w:val="a"/>
    <w:next w:val="af7"/>
    <w:qFormat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f7">
    <w:name w:val="Body Text"/>
    <w:basedOn w:val="a"/>
    <w:pPr>
      <w:spacing w:after="140"/>
    </w:pPr>
  </w:style>
  <w:style w:type="paragraph" w:styleId="af8">
    <w:name w:val="List"/>
    <w:basedOn w:val="af7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Lucida Sans"/>
    </w:rPr>
  </w:style>
  <w:style w:type="paragraph" w:styleId="afb">
    <w:name w:val="List Paragraph"/>
    <w:basedOn w:val="a"/>
    <w:uiPriority w:val="34"/>
    <w:qFormat/>
    <w:rsid w:val="002F203E"/>
    <w:pPr>
      <w:ind w:left="720"/>
      <w:contextualSpacing/>
    </w:pPr>
  </w:style>
  <w:style w:type="paragraph" w:styleId="a4">
    <w:name w:val="header"/>
    <w:basedOn w:val="a"/>
    <w:link w:val="a3"/>
    <w:uiPriority w:val="99"/>
    <w:unhideWhenUsed/>
    <w:rsid w:val="002B18B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2B18B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note text"/>
    <w:basedOn w:val="a"/>
    <w:link w:val="a7"/>
    <w:uiPriority w:val="99"/>
    <w:unhideWhenUsed/>
    <w:rsid w:val="006527DF"/>
    <w:pPr>
      <w:spacing w:after="0" w:line="240" w:lineRule="auto"/>
    </w:pPr>
    <w:rPr>
      <w:sz w:val="20"/>
      <w:szCs w:val="20"/>
    </w:rPr>
  </w:style>
  <w:style w:type="paragraph" w:styleId="ab">
    <w:name w:val="Balloon Text"/>
    <w:basedOn w:val="a"/>
    <w:link w:val="aa"/>
    <w:uiPriority w:val="99"/>
    <w:semiHidden/>
    <w:unhideWhenUsed/>
    <w:qFormat/>
    <w:rsid w:val="00BC74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afc">
    <w:name w:val="No Spacing"/>
    <w:uiPriority w:val="1"/>
    <w:qFormat/>
    <w:rsid w:val="00285934"/>
  </w:style>
  <w:style w:type="paragraph" w:styleId="afd">
    <w:name w:val="Normal (Web)"/>
    <w:basedOn w:val="a"/>
    <w:uiPriority w:val="99"/>
    <w:semiHidden/>
    <w:unhideWhenUsed/>
    <w:qFormat/>
    <w:rsid w:val="006F00CC"/>
    <w:pPr>
      <w:spacing w:beforeAutospacing="1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af">
    <w:name w:val="annotation text"/>
    <w:basedOn w:val="a"/>
    <w:link w:val="ae"/>
    <w:uiPriority w:val="99"/>
    <w:semiHidden/>
    <w:unhideWhenUsed/>
    <w:qFormat/>
    <w:rsid w:val="005E36E6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"/>
    <w:link w:val="af0"/>
    <w:uiPriority w:val="99"/>
    <w:semiHidden/>
    <w:unhideWhenUsed/>
    <w:qFormat/>
    <w:rsid w:val="005E36E6"/>
    <w:rPr>
      <w:b/>
      <w:bCs/>
    </w:rPr>
  </w:style>
  <w:style w:type="paragraph" w:styleId="afe">
    <w:name w:val="TOC Heading"/>
    <w:basedOn w:val="1"/>
    <w:next w:val="a"/>
    <w:uiPriority w:val="39"/>
    <w:unhideWhenUsed/>
    <w:qFormat/>
    <w:rsid w:val="008369F6"/>
    <w:pPr>
      <w:spacing w:before="240" w:line="259" w:lineRule="auto"/>
    </w:pPr>
    <w:rPr>
      <w:b w:val="0"/>
      <w:bCs w:val="0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369F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369F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369F6"/>
    <w:pPr>
      <w:spacing w:after="100"/>
      <w:ind w:left="440"/>
    </w:pPr>
  </w:style>
  <w:style w:type="table" w:styleId="aff">
    <w:name w:val="Table Grid"/>
    <w:basedOn w:val="a1"/>
    <w:uiPriority w:val="39"/>
    <w:rsid w:val="0065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09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hyperlink" Target="https://risk-academ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hdl.handle.net/1887/44710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www.unece.org/fileadmin/DAM/trade/Publications/WP6_ECE_TRADE_390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diagramLayout" Target="diagrams/layout1.xml"/><Relationship Id="rId19" Type="http://schemas.openxmlformats.org/officeDocument/2006/relationships/hyperlink" Target="http://ar.gov.ru/ru-RU/document/default/view/512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Relationship Id="rId22" Type="http://schemas.openxmlformats.org/officeDocument/2006/relationships/hyperlink" Target="http://www.whitehouse.gov/omb/management/GovRefor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ece.org/fileadmin/DAM/trade/Publications/WP6_ECE_TRADE_390R.pdf" TargetMode="External"/><Relationship Id="rId2" Type="http://schemas.openxmlformats.org/officeDocument/2006/relationships/hyperlink" Target="https://www.unece.org/fileadmin/DAM/trade/Publications/WP6_ECE_TRADE_390R.pdf" TargetMode="External"/><Relationship Id="rId1" Type="http://schemas.openxmlformats.org/officeDocument/2006/relationships/hyperlink" Target="http://ar.gov.ru/ru-RU/document/default/view/512" TargetMode="External"/><Relationship Id="rId4" Type="http://schemas.openxmlformats.org/officeDocument/2006/relationships/hyperlink" Target="https://www.unece.org/fileadmin/DAM/trade/Publications/WP6_ECE_TRADE_390R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92483A-7DF8-014D-BD92-A089DF9C0AC2}" type="doc">
      <dgm:prSet loTypeId="urn:microsoft.com/office/officeart/2005/8/layout/hProcess9" loCatId="process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1C33B48A-C264-E949-BB7E-C0CDC5EF677B}">
      <dgm:prSet phldrT="[Text]">
        <dgm:style>
          <a:lnRef idx="3">
            <a:schemeClr val="lt1"/>
          </a:lnRef>
          <a:fillRef idx="1">
            <a:schemeClr val="accent5"/>
          </a:fillRef>
          <a:effectRef idx="1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/>
            <a:t>Регламентация управления рисками</a:t>
          </a:r>
          <a:endParaRPr lang="en-US"/>
        </a:p>
      </dgm:t>
    </dgm:pt>
    <dgm:pt modelId="{0B2B1E67-3E69-C949-B643-CF26128E077C}" type="parTrans" cxnId="{A71425DE-1B8A-464C-AA64-2803A870A937}">
      <dgm:prSet/>
      <dgm:spPr/>
      <dgm:t>
        <a:bodyPr/>
        <a:lstStyle/>
        <a:p>
          <a:endParaRPr lang="en-US"/>
        </a:p>
      </dgm:t>
    </dgm:pt>
    <dgm:pt modelId="{8893F3C7-5DC9-0442-B3AC-464FE39E7B40}" type="sibTrans" cxnId="{A71425DE-1B8A-464C-AA64-2803A870A937}">
      <dgm:prSet/>
      <dgm:spPr/>
      <dgm:t>
        <a:bodyPr/>
        <a:lstStyle/>
        <a:p>
          <a:endParaRPr lang="en-US"/>
        </a:p>
      </dgm:t>
    </dgm:pt>
    <dgm:pt modelId="{101D25CF-88E7-3F4E-A8CF-E66D97B15EEA}">
      <dgm:prSet phldrT="[Text]">
        <dgm:style>
          <a:lnRef idx="3">
            <a:schemeClr val="lt1"/>
          </a:lnRef>
          <a:fillRef idx="1">
            <a:schemeClr val="accent5"/>
          </a:fillRef>
          <a:effectRef idx="1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/>
            <a:t>Инфраструктура</a:t>
          </a:r>
        </a:p>
      </dgm:t>
    </dgm:pt>
    <dgm:pt modelId="{DC9D3A60-FC6E-5A47-8043-51D3BF9FCA5F}" type="parTrans" cxnId="{225F6077-7A22-984A-AB60-DA2BEE398C74}">
      <dgm:prSet/>
      <dgm:spPr/>
      <dgm:t>
        <a:bodyPr/>
        <a:lstStyle/>
        <a:p>
          <a:endParaRPr lang="en-US"/>
        </a:p>
      </dgm:t>
    </dgm:pt>
    <dgm:pt modelId="{6D400E1B-BD24-D049-938D-456BEA1576EF}" type="sibTrans" cxnId="{225F6077-7A22-984A-AB60-DA2BEE398C74}">
      <dgm:prSet/>
      <dgm:spPr/>
      <dgm:t>
        <a:bodyPr/>
        <a:lstStyle/>
        <a:p>
          <a:endParaRPr lang="en-US"/>
        </a:p>
      </dgm:t>
    </dgm:pt>
    <dgm:pt modelId="{7E6C733F-A261-B04E-B06C-AED87F16FD4C}">
      <dgm:prSet>
        <dgm:style>
          <a:lnRef idx="3">
            <a:schemeClr val="lt1"/>
          </a:lnRef>
          <a:fillRef idx="1">
            <a:schemeClr val="accent4"/>
          </a:fillRef>
          <a:effectRef idx="1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/>
            <a:t>Процесс управления рисками</a:t>
          </a:r>
        </a:p>
      </dgm:t>
    </dgm:pt>
    <dgm:pt modelId="{436F4F46-1091-DE40-9CD2-A947FA72A46C}" type="parTrans" cxnId="{09342B93-1DE4-4D40-A957-1FAEEBE143B2}">
      <dgm:prSet/>
      <dgm:spPr/>
      <dgm:t>
        <a:bodyPr/>
        <a:lstStyle/>
        <a:p>
          <a:endParaRPr lang="en-US"/>
        </a:p>
      </dgm:t>
    </dgm:pt>
    <dgm:pt modelId="{F9B042DB-7000-4A4B-89E9-F9F3AC65173B}" type="sibTrans" cxnId="{09342B93-1DE4-4D40-A957-1FAEEBE143B2}">
      <dgm:prSet/>
      <dgm:spPr/>
      <dgm:t>
        <a:bodyPr/>
        <a:lstStyle/>
        <a:p>
          <a:endParaRPr lang="en-US"/>
        </a:p>
      </dgm:t>
    </dgm:pt>
    <dgm:pt modelId="{D4306FB1-B84D-1444-8EF1-A4D932D9D441}">
      <dgm:prSet phldrT="[Text]">
        <dgm:style>
          <a:lnRef idx="3">
            <a:schemeClr val="lt1"/>
          </a:lnRef>
          <a:fillRef idx="1">
            <a:schemeClr val="accent5"/>
          </a:fillRef>
          <a:effectRef idx="1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/>
            <a:t>Кадры</a:t>
          </a:r>
          <a:endParaRPr lang="en-US"/>
        </a:p>
      </dgm:t>
    </dgm:pt>
    <dgm:pt modelId="{A48C541C-22FB-854F-9A2E-1048B21DC76E}" type="parTrans" cxnId="{8F0F89EC-F9EC-5345-BB74-3FCE77C1FDC8}">
      <dgm:prSet/>
      <dgm:spPr/>
      <dgm:t>
        <a:bodyPr/>
        <a:lstStyle/>
        <a:p>
          <a:endParaRPr lang="en-US"/>
        </a:p>
      </dgm:t>
    </dgm:pt>
    <dgm:pt modelId="{30463FE9-46C4-A344-9380-7643282F3379}" type="sibTrans" cxnId="{8F0F89EC-F9EC-5345-BB74-3FCE77C1FDC8}">
      <dgm:prSet/>
      <dgm:spPr/>
      <dgm:t>
        <a:bodyPr/>
        <a:lstStyle/>
        <a:p>
          <a:endParaRPr lang="en-US"/>
        </a:p>
      </dgm:t>
    </dgm:pt>
    <dgm:pt modelId="{60256E39-DD21-6B4E-9344-BB3BE0E52050}">
      <dgm:prSet phldrT="[Text]">
        <dgm:style>
          <a:lnRef idx="3">
            <a:schemeClr val="lt1"/>
          </a:lnRef>
          <a:fillRef idx="1">
            <a:schemeClr val="accent5"/>
          </a:fillRef>
          <a:effectRef idx="1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/>
            <a:t>Экспертно-аналитическое сопровождение</a:t>
          </a:r>
          <a:endParaRPr lang="en-US"/>
        </a:p>
      </dgm:t>
    </dgm:pt>
    <dgm:pt modelId="{76622B31-49A9-9E49-A312-75A13C238027}" type="parTrans" cxnId="{29506D30-21BD-E84C-8A56-DB0798CEC7B9}">
      <dgm:prSet/>
      <dgm:spPr/>
      <dgm:t>
        <a:bodyPr/>
        <a:lstStyle/>
        <a:p>
          <a:endParaRPr lang="en-US"/>
        </a:p>
      </dgm:t>
    </dgm:pt>
    <dgm:pt modelId="{90B929AB-BAD6-204D-9AB5-F4B70E673C71}" type="sibTrans" cxnId="{29506D30-21BD-E84C-8A56-DB0798CEC7B9}">
      <dgm:prSet/>
      <dgm:spPr/>
      <dgm:t>
        <a:bodyPr/>
        <a:lstStyle/>
        <a:p>
          <a:endParaRPr lang="en-US"/>
        </a:p>
      </dgm:t>
    </dgm:pt>
    <dgm:pt modelId="{172F876F-24E3-644A-80E8-7BAB695811DC}">
      <dgm:prSet>
        <dgm:style>
          <a:lnRef idx="3">
            <a:schemeClr val="lt1"/>
          </a:lnRef>
          <a:fillRef idx="1">
            <a:schemeClr val="accent3"/>
          </a:fillRef>
          <a:effectRef idx="1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/>
            <a:t>Данные</a:t>
          </a:r>
        </a:p>
      </dgm:t>
    </dgm:pt>
    <dgm:pt modelId="{C94E84C4-B865-D846-AE66-A4B363259D92}" type="parTrans" cxnId="{7131EC07-CB9F-D641-AF24-4C8C987D5A80}">
      <dgm:prSet/>
      <dgm:spPr/>
      <dgm:t>
        <a:bodyPr/>
        <a:lstStyle/>
        <a:p>
          <a:endParaRPr lang="en-US"/>
        </a:p>
      </dgm:t>
    </dgm:pt>
    <dgm:pt modelId="{A3962DF2-9A42-E24C-BAB9-89499F20EE36}" type="sibTrans" cxnId="{7131EC07-CB9F-D641-AF24-4C8C987D5A80}">
      <dgm:prSet/>
      <dgm:spPr/>
      <dgm:t>
        <a:bodyPr/>
        <a:lstStyle/>
        <a:p>
          <a:endParaRPr lang="en-US"/>
        </a:p>
      </dgm:t>
    </dgm:pt>
    <dgm:pt modelId="{2A81BA67-4234-4442-8B12-754ED7593B96}">
      <dgm:prSet>
        <dgm:style>
          <a:lnRef idx="3">
            <a:schemeClr val="lt1"/>
          </a:lnRef>
          <a:fillRef idx="1">
            <a:schemeClr val="accent6"/>
          </a:fillRef>
          <a:effectRef idx="1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/>
            <a:t>Цели и планирование</a:t>
          </a:r>
        </a:p>
      </dgm:t>
    </dgm:pt>
    <dgm:pt modelId="{EB61AAE3-4633-2545-9D94-A81103F27CA8}" type="parTrans" cxnId="{2DBD9273-A5BF-4E4B-B92D-23D29CE6610C}">
      <dgm:prSet/>
      <dgm:spPr/>
      <dgm:t>
        <a:bodyPr/>
        <a:lstStyle/>
        <a:p>
          <a:endParaRPr lang="en-US"/>
        </a:p>
      </dgm:t>
    </dgm:pt>
    <dgm:pt modelId="{DEF42EA8-7D34-5F45-8647-B94C1861CBF9}" type="sibTrans" cxnId="{2DBD9273-A5BF-4E4B-B92D-23D29CE6610C}">
      <dgm:prSet/>
      <dgm:spPr/>
      <dgm:t>
        <a:bodyPr/>
        <a:lstStyle/>
        <a:p>
          <a:endParaRPr lang="en-US"/>
        </a:p>
      </dgm:t>
    </dgm:pt>
    <dgm:pt modelId="{2B5F1D7A-534C-5144-9157-B5C6AA7D1862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 w="76200"/>
      </dgm:spPr>
      <dgm:t>
        <a:bodyPr/>
        <a:lstStyle/>
        <a:p>
          <a:pPr algn="ctr"/>
          <a:r>
            <a:rPr lang="ru-RU"/>
            <a:t>Обеспечение безопасности охраняемых законом ценностей и содействие экономическому развитию</a:t>
          </a:r>
          <a:endParaRPr lang="en-US"/>
        </a:p>
      </dgm:t>
    </dgm:pt>
    <dgm:pt modelId="{3432CA9A-396F-5B4D-924E-04A4FD42EAAB}" type="parTrans" cxnId="{E88516E5-B769-C446-807A-DBA9921FFB09}">
      <dgm:prSet/>
      <dgm:spPr/>
      <dgm:t>
        <a:bodyPr/>
        <a:lstStyle/>
        <a:p>
          <a:endParaRPr lang="en-US"/>
        </a:p>
      </dgm:t>
    </dgm:pt>
    <dgm:pt modelId="{6A1F8619-FFD1-D243-8AD0-CE5BAFAA4A8D}" type="sibTrans" cxnId="{E88516E5-B769-C446-807A-DBA9921FFB09}">
      <dgm:prSet/>
      <dgm:spPr/>
      <dgm:t>
        <a:bodyPr/>
        <a:lstStyle/>
        <a:p>
          <a:endParaRPr lang="en-US"/>
        </a:p>
      </dgm:t>
    </dgm:pt>
    <dgm:pt modelId="{1582C47C-7F33-7743-ABC9-2C31B24FC584}">
      <dgm:prSet>
        <dgm:style>
          <a:lnRef idx="3">
            <a:schemeClr val="lt1"/>
          </a:lnRef>
          <a:fillRef idx="1">
            <a:schemeClr val="accent4"/>
          </a:fillRef>
          <a:effectRef idx="1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/>
            <a:t>Идентификация, анализ и ранжирование рисков </a:t>
          </a:r>
          <a:endParaRPr lang="en-US"/>
        </a:p>
      </dgm:t>
    </dgm:pt>
    <dgm:pt modelId="{1386D239-6316-FD44-9A82-B456368EBF97}" type="parTrans" cxnId="{1A88E8E5-6122-1949-A17A-3B07287E9FF8}">
      <dgm:prSet/>
      <dgm:spPr/>
      <dgm:t>
        <a:bodyPr/>
        <a:lstStyle/>
        <a:p>
          <a:endParaRPr lang="en-US"/>
        </a:p>
      </dgm:t>
    </dgm:pt>
    <dgm:pt modelId="{CD73523E-CBBE-EB4C-B433-AE8B13D8F9EA}" type="sibTrans" cxnId="{1A88E8E5-6122-1949-A17A-3B07287E9FF8}">
      <dgm:prSet/>
      <dgm:spPr/>
      <dgm:t>
        <a:bodyPr/>
        <a:lstStyle/>
        <a:p>
          <a:endParaRPr lang="en-US"/>
        </a:p>
      </dgm:t>
    </dgm:pt>
    <dgm:pt modelId="{F2EC162B-616F-7F42-BA6F-7542A76774C2}">
      <dgm:prSet>
        <dgm:style>
          <a:lnRef idx="3">
            <a:schemeClr val="lt1"/>
          </a:lnRef>
          <a:fillRef idx="1">
            <a:schemeClr val="accent4"/>
          </a:fillRef>
          <a:effectRef idx="1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/>
            <a:t>Реагирование на риски</a:t>
          </a:r>
          <a:endParaRPr lang="en-US"/>
        </a:p>
      </dgm:t>
    </dgm:pt>
    <dgm:pt modelId="{DD2789B1-9C29-FE4E-9C29-0ED726DE70FF}" type="parTrans" cxnId="{CEF72580-834E-C042-9F15-353C659F0CF3}">
      <dgm:prSet/>
      <dgm:spPr/>
      <dgm:t>
        <a:bodyPr/>
        <a:lstStyle/>
        <a:p>
          <a:endParaRPr lang="en-US"/>
        </a:p>
      </dgm:t>
    </dgm:pt>
    <dgm:pt modelId="{31FDE151-C391-FB44-98EB-3BB13D832F4F}" type="sibTrans" cxnId="{CEF72580-834E-C042-9F15-353C659F0CF3}">
      <dgm:prSet/>
      <dgm:spPr/>
      <dgm:t>
        <a:bodyPr/>
        <a:lstStyle/>
        <a:p>
          <a:endParaRPr lang="en-US"/>
        </a:p>
      </dgm:t>
    </dgm:pt>
    <dgm:pt modelId="{AC8C7217-6D5A-7846-AA93-5F02F7E5410E}">
      <dgm:prSet>
        <dgm:style>
          <a:lnRef idx="3">
            <a:schemeClr val="lt1"/>
          </a:lnRef>
          <a:fillRef idx="1">
            <a:schemeClr val="accent3"/>
          </a:fillRef>
          <a:effectRef idx="1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/>
            <a:t>Источники и качество данных</a:t>
          </a:r>
          <a:endParaRPr lang="en-US"/>
        </a:p>
      </dgm:t>
    </dgm:pt>
    <dgm:pt modelId="{AE6B6B6B-6E27-1047-AACC-867ACE059793}" type="parTrans" cxnId="{331DD990-8AB2-9A4B-82DB-D043B5FADB2A}">
      <dgm:prSet/>
      <dgm:spPr/>
      <dgm:t>
        <a:bodyPr/>
        <a:lstStyle/>
        <a:p>
          <a:endParaRPr lang="en-US"/>
        </a:p>
      </dgm:t>
    </dgm:pt>
    <dgm:pt modelId="{BF66C9C7-7FF8-954C-81ED-33F93B63CA6D}" type="sibTrans" cxnId="{331DD990-8AB2-9A4B-82DB-D043B5FADB2A}">
      <dgm:prSet/>
      <dgm:spPr/>
      <dgm:t>
        <a:bodyPr/>
        <a:lstStyle/>
        <a:p>
          <a:endParaRPr lang="en-US"/>
        </a:p>
      </dgm:t>
    </dgm:pt>
    <dgm:pt modelId="{A99E1105-528C-D84F-A671-ED42C315E34B}">
      <dgm:prSet>
        <dgm:style>
          <a:lnRef idx="3">
            <a:schemeClr val="lt1"/>
          </a:lnRef>
          <a:fillRef idx="1">
            <a:schemeClr val="accent3"/>
          </a:fillRef>
          <a:effectRef idx="1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/>
            <a:t>Обоснование решений</a:t>
          </a:r>
          <a:endParaRPr lang="en-US"/>
        </a:p>
      </dgm:t>
    </dgm:pt>
    <dgm:pt modelId="{FEB1636D-47AE-3943-B4CB-E84725C87A7F}" type="parTrans" cxnId="{A36BEFF2-A49C-444C-A289-D378891E18DC}">
      <dgm:prSet/>
      <dgm:spPr/>
      <dgm:t>
        <a:bodyPr/>
        <a:lstStyle/>
        <a:p>
          <a:endParaRPr lang="en-US"/>
        </a:p>
      </dgm:t>
    </dgm:pt>
    <dgm:pt modelId="{0EF42BAE-46C3-7247-BEBC-81731D88E25A}" type="sibTrans" cxnId="{A36BEFF2-A49C-444C-A289-D378891E18DC}">
      <dgm:prSet/>
      <dgm:spPr/>
      <dgm:t>
        <a:bodyPr/>
        <a:lstStyle/>
        <a:p>
          <a:endParaRPr lang="en-US"/>
        </a:p>
      </dgm:t>
    </dgm:pt>
    <dgm:pt modelId="{42572BDE-3C10-6746-A950-7043801B7D44}">
      <dgm:prSet>
        <dgm:style>
          <a:lnRef idx="3">
            <a:schemeClr val="lt1"/>
          </a:lnRef>
          <a:fillRef idx="1">
            <a:schemeClr val="accent6"/>
          </a:fillRef>
          <a:effectRef idx="1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/>
            <a:t>Планирование деятельности органа власти</a:t>
          </a:r>
          <a:endParaRPr lang="en-US"/>
        </a:p>
      </dgm:t>
    </dgm:pt>
    <dgm:pt modelId="{BFD16A5C-6613-764D-BEF6-742E396D95C7}" type="sibTrans" cxnId="{C79D5355-15C1-7549-85DD-6AC20B7A9536}">
      <dgm:prSet/>
      <dgm:spPr/>
      <dgm:t>
        <a:bodyPr/>
        <a:lstStyle/>
        <a:p>
          <a:endParaRPr lang="en-US"/>
        </a:p>
      </dgm:t>
    </dgm:pt>
    <dgm:pt modelId="{88E281E5-C6E0-DC46-8073-654DC122C738}" type="parTrans" cxnId="{C79D5355-15C1-7549-85DD-6AC20B7A9536}">
      <dgm:prSet/>
      <dgm:spPr/>
      <dgm:t>
        <a:bodyPr/>
        <a:lstStyle/>
        <a:p>
          <a:endParaRPr lang="en-US"/>
        </a:p>
      </dgm:t>
    </dgm:pt>
    <dgm:pt modelId="{B2B04C3C-8415-2643-84B3-26234A9CA232}">
      <dgm:prSet>
        <dgm:style>
          <a:lnRef idx="3">
            <a:schemeClr val="lt1"/>
          </a:lnRef>
          <a:fillRef idx="1">
            <a:schemeClr val="accent6"/>
          </a:fillRef>
          <a:effectRef idx="1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/>
            <a:t>Управление целями</a:t>
          </a:r>
          <a:endParaRPr lang="en-US"/>
        </a:p>
      </dgm:t>
    </dgm:pt>
    <dgm:pt modelId="{DC2757CD-7D9F-4747-B561-F3F04200E9F8}" type="sibTrans" cxnId="{30D6C10A-571B-E94A-ABA3-68DAF259B2E9}">
      <dgm:prSet/>
      <dgm:spPr/>
      <dgm:t>
        <a:bodyPr/>
        <a:lstStyle/>
        <a:p>
          <a:endParaRPr lang="en-US"/>
        </a:p>
      </dgm:t>
    </dgm:pt>
    <dgm:pt modelId="{53523FB7-CACA-0A4A-A9D7-F7B9E29D9282}" type="parTrans" cxnId="{30D6C10A-571B-E94A-ABA3-68DAF259B2E9}">
      <dgm:prSet/>
      <dgm:spPr/>
      <dgm:t>
        <a:bodyPr/>
        <a:lstStyle/>
        <a:p>
          <a:endParaRPr lang="en-US"/>
        </a:p>
      </dgm:t>
    </dgm:pt>
    <dgm:pt modelId="{EDCEECC0-B0CB-594B-8721-7F97ECF9A9D9}" type="pres">
      <dgm:prSet presAssocID="{B992483A-7DF8-014D-BD92-A089DF9C0AC2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35839CD-89C5-214D-8F4C-721AC5206122}" type="pres">
      <dgm:prSet presAssocID="{B992483A-7DF8-014D-BD92-A089DF9C0AC2}" presName="arrow" presStyleLbl="bgShp" presStyleIdx="0" presStyleCnt="1" custScaleX="109406"/>
      <dgm:spPr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0" scaled="0"/>
        </a:gradFill>
      </dgm:spPr>
    </dgm:pt>
    <dgm:pt modelId="{1AAE66ED-4019-F94F-8303-3AA37F04543D}" type="pres">
      <dgm:prSet presAssocID="{B992483A-7DF8-014D-BD92-A089DF9C0AC2}" presName="linearProcess" presStyleCnt="0"/>
      <dgm:spPr/>
    </dgm:pt>
    <dgm:pt modelId="{D0DB7861-402F-124B-9F24-AC0D677B038F}" type="pres">
      <dgm:prSet presAssocID="{2A81BA67-4234-4442-8B12-754ED7593B96}" presName="tex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606D74-726E-944A-BF92-4E5BCA152C69}" type="pres">
      <dgm:prSet presAssocID="{DEF42EA8-7D34-5F45-8647-B94C1861CBF9}" presName="sibTrans" presStyleCnt="0"/>
      <dgm:spPr/>
    </dgm:pt>
    <dgm:pt modelId="{C218E944-E64B-0045-B732-E68E121CCB5F}" type="pres">
      <dgm:prSet presAssocID="{172F876F-24E3-644A-80E8-7BAB695811DC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67C10D-C85A-0A4F-B06A-32FDB67C53C5}" type="pres">
      <dgm:prSet presAssocID="{A3962DF2-9A42-E24C-BAB9-89499F20EE36}" presName="sibTrans" presStyleCnt="0"/>
      <dgm:spPr/>
    </dgm:pt>
    <dgm:pt modelId="{8B8450DB-A194-1A4F-9FB1-EF3107BA701B}" type="pres">
      <dgm:prSet presAssocID="{7E6C733F-A261-B04E-B06C-AED87F16FD4C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97072A-9250-2B4E-9F41-79C789C12F63}" type="pres">
      <dgm:prSet presAssocID="{F9B042DB-7000-4A4B-89E9-F9F3AC65173B}" presName="sibTrans" presStyleCnt="0"/>
      <dgm:spPr/>
    </dgm:pt>
    <dgm:pt modelId="{0504136D-5917-2E49-9238-A70CC795B8ED}" type="pres">
      <dgm:prSet presAssocID="{101D25CF-88E7-3F4E-A8CF-E66D97B15EEA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1567DB-8993-0C41-8E79-D61763B17AA4}" type="pres">
      <dgm:prSet presAssocID="{6D400E1B-BD24-D049-938D-456BEA1576EF}" presName="sibTrans" presStyleCnt="0"/>
      <dgm:spPr/>
    </dgm:pt>
    <dgm:pt modelId="{A47EDE4E-B4AC-3343-8021-2C7A67A035C8}" type="pres">
      <dgm:prSet presAssocID="{2B5F1D7A-534C-5144-9157-B5C6AA7D1862}" presName="textNode" presStyleLbl="node1" presStyleIdx="4" presStyleCnt="5" custScaleX="110000" custScaleY="110000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ru-RU"/>
        </a:p>
      </dgm:t>
    </dgm:pt>
  </dgm:ptLst>
  <dgm:cxnLst>
    <dgm:cxn modelId="{2DBD9273-A5BF-4E4B-B92D-23D29CE6610C}" srcId="{B992483A-7DF8-014D-BD92-A089DF9C0AC2}" destId="{2A81BA67-4234-4442-8B12-754ED7593B96}" srcOrd="0" destOrd="0" parTransId="{EB61AAE3-4633-2545-9D94-A81103F27CA8}" sibTransId="{DEF42EA8-7D34-5F45-8647-B94C1861CBF9}"/>
    <dgm:cxn modelId="{2E5F9272-FE6E-4DEA-9585-CB9BEFD9B533}" type="presOf" srcId="{7E6C733F-A261-B04E-B06C-AED87F16FD4C}" destId="{8B8450DB-A194-1A4F-9FB1-EF3107BA701B}" srcOrd="0" destOrd="0" presId="urn:microsoft.com/office/officeart/2005/8/layout/hProcess9"/>
    <dgm:cxn modelId="{A36BEFF2-A49C-444C-A289-D378891E18DC}" srcId="{172F876F-24E3-644A-80E8-7BAB695811DC}" destId="{A99E1105-528C-D84F-A671-ED42C315E34B}" srcOrd="1" destOrd="0" parTransId="{FEB1636D-47AE-3943-B4CB-E84725C87A7F}" sibTransId="{0EF42BAE-46C3-7247-BEBC-81731D88E25A}"/>
    <dgm:cxn modelId="{02532414-0706-49D3-84DC-4D5C437D4C95}" type="presOf" srcId="{42572BDE-3C10-6746-A950-7043801B7D44}" destId="{D0DB7861-402F-124B-9F24-AC0D677B038F}" srcOrd="0" destOrd="1" presId="urn:microsoft.com/office/officeart/2005/8/layout/hProcess9"/>
    <dgm:cxn modelId="{30D6C10A-571B-E94A-ABA3-68DAF259B2E9}" srcId="{2A81BA67-4234-4442-8B12-754ED7593B96}" destId="{B2B04C3C-8415-2643-84B3-26234A9CA232}" srcOrd="1" destOrd="0" parTransId="{53523FB7-CACA-0A4A-A9D7-F7B9E29D9282}" sibTransId="{DC2757CD-7D9F-4747-B561-F3F04200E9F8}"/>
    <dgm:cxn modelId="{A71425DE-1B8A-464C-AA64-2803A870A937}" srcId="{101D25CF-88E7-3F4E-A8CF-E66D97B15EEA}" destId="{1C33B48A-C264-E949-BB7E-C0CDC5EF677B}" srcOrd="0" destOrd="0" parTransId="{0B2B1E67-3E69-C949-B643-CF26128E077C}" sibTransId="{8893F3C7-5DC9-0442-B3AC-464FE39E7B40}"/>
    <dgm:cxn modelId="{1A88E8E5-6122-1949-A17A-3B07287E9FF8}" srcId="{7E6C733F-A261-B04E-B06C-AED87F16FD4C}" destId="{1582C47C-7F33-7743-ABC9-2C31B24FC584}" srcOrd="0" destOrd="0" parTransId="{1386D239-6316-FD44-9A82-B456368EBF97}" sibTransId="{CD73523E-CBBE-EB4C-B433-AE8B13D8F9EA}"/>
    <dgm:cxn modelId="{27701E9B-49D1-4F4B-BEC0-3F9D1A26543B}" type="presOf" srcId="{D4306FB1-B84D-1444-8EF1-A4D932D9D441}" destId="{0504136D-5917-2E49-9238-A70CC795B8ED}" srcOrd="0" destOrd="2" presId="urn:microsoft.com/office/officeart/2005/8/layout/hProcess9"/>
    <dgm:cxn modelId="{716002C6-A973-426B-BDA1-CC16E55BC6BA}" type="presOf" srcId="{B992483A-7DF8-014D-BD92-A089DF9C0AC2}" destId="{EDCEECC0-B0CB-594B-8721-7F97ECF9A9D9}" srcOrd="0" destOrd="0" presId="urn:microsoft.com/office/officeart/2005/8/layout/hProcess9"/>
    <dgm:cxn modelId="{331DD990-8AB2-9A4B-82DB-D043B5FADB2A}" srcId="{172F876F-24E3-644A-80E8-7BAB695811DC}" destId="{AC8C7217-6D5A-7846-AA93-5F02F7E5410E}" srcOrd="0" destOrd="0" parTransId="{AE6B6B6B-6E27-1047-AACC-867ACE059793}" sibTransId="{BF66C9C7-7FF8-954C-81ED-33F93B63CA6D}"/>
    <dgm:cxn modelId="{E88516E5-B769-C446-807A-DBA9921FFB09}" srcId="{B992483A-7DF8-014D-BD92-A089DF9C0AC2}" destId="{2B5F1D7A-534C-5144-9157-B5C6AA7D1862}" srcOrd="4" destOrd="0" parTransId="{3432CA9A-396F-5B4D-924E-04A4FD42EAAB}" sibTransId="{6A1F8619-FFD1-D243-8AD0-CE5BAFAA4A8D}"/>
    <dgm:cxn modelId="{09342B93-1DE4-4D40-A957-1FAEEBE143B2}" srcId="{B992483A-7DF8-014D-BD92-A089DF9C0AC2}" destId="{7E6C733F-A261-B04E-B06C-AED87F16FD4C}" srcOrd="2" destOrd="0" parTransId="{436F4F46-1091-DE40-9CD2-A947FA72A46C}" sibTransId="{F9B042DB-7000-4A4B-89E9-F9F3AC65173B}"/>
    <dgm:cxn modelId="{9DA6E123-BD65-4E47-BAE2-4E50FBB2B58D}" type="presOf" srcId="{2B5F1D7A-534C-5144-9157-B5C6AA7D1862}" destId="{A47EDE4E-B4AC-3343-8021-2C7A67A035C8}" srcOrd="0" destOrd="0" presId="urn:microsoft.com/office/officeart/2005/8/layout/hProcess9"/>
    <dgm:cxn modelId="{DE657D64-9241-499B-AB7B-B83815C9ED81}" type="presOf" srcId="{F2EC162B-616F-7F42-BA6F-7542A76774C2}" destId="{8B8450DB-A194-1A4F-9FB1-EF3107BA701B}" srcOrd="0" destOrd="2" presId="urn:microsoft.com/office/officeart/2005/8/layout/hProcess9"/>
    <dgm:cxn modelId="{C79D5355-15C1-7549-85DD-6AC20B7A9536}" srcId="{2A81BA67-4234-4442-8B12-754ED7593B96}" destId="{42572BDE-3C10-6746-A950-7043801B7D44}" srcOrd="0" destOrd="0" parTransId="{88E281E5-C6E0-DC46-8073-654DC122C738}" sibTransId="{BFD16A5C-6613-764D-BEF6-742E396D95C7}"/>
    <dgm:cxn modelId="{2D46A560-6EEF-479D-9212-18587303530A}" type="presOf" srcId="{2A81BA67-4234-4442-8B12-754ED7593B96}" destId="{D0DB7861-402F-124B-9F24-AC0D677B038F}" srcOrd="0" destOrd="0" presId="urn:microsoft.com/office/officeart/2005/8/layout/hProcess9"/>
    <dgm:cxn modelId="{3579B26F-FB14-439E-943C-1B754B7FB08F}" type="presOf" srcId="{101D25CF-88E7-3F4E-A8CF-E66D97B15EEA}" destId="{0504136D-5917-2E49-9238-A70CC795B8ED}" srcOrd="0" destOrd="0" presId="urn:microsoft.com/office/officeart/2005/8/layout/hProcess9"/>
    <dgm:cxn modelId="{704F6780-A761-4A32-A1C9-FA6C1DF3018D}" type="presOf" srcId="{172F876F-24E3-644A-80E8-7BAB695811DC}" destId="{C218E944-E64B-0045-B732-E68E121CCB5F}" srcOrd="0" destOrd="0" presId="urn:microsoft.com/office/officeart/2005/8/layout/hProcess9"/>
    <dgm:cxn modelId="{7131EC07-CB9F-D641-AF24-4C8C987D5A80}" srcId="{B992483A-7DF8-014D-BD92-A089DF9C0AC2}" destId="{172F876F-24E3-644A-80E8-7BAB695811DC}" srcOrd="1" destOrd="0" parTransId="{C94E84C4-B865-D846-AE66-A4B363259D92}" sibTransId="{A3962DF2-9A42-E24C-BAB9-89499F20EE36}"/>
    <dgm:cxn modelId="{A1F4E548-705B-4788-BC17-C4B060E297BE}" type="presOf" srcId="{A99E1105-528C-D84F-A671-ED42C315E34B}" destId="{C218E944-E64B-0045-B732-E68E121CCB5F}" srcOrd="0" destOrd="2" presId="urn:microsoft.com/office/officeart/2005/8/layout/hProcess9"/>
    <dgm:cxn modelId="{295197D3-69D1-49B2-9E5B-27C9AED4E4E9}" type="presOf" srcId="{B2B04C3C-8415-2643-84B3-26234A9CA232}" destId="{D0DB7861-402F-124B-9F24-AC0D677B038F}" srcOrd="0" destOrd="2" presId="urn:microsoft.com/office/officeart/2005/8/layout/hProcess9"/>
    <dgm:cxn modelId="{A7852AEB-3A6F-4C31-9ED0-C40AF8AA4010}" type="presOf" srcId="{AC8C7217-6D5A-7846-AA93-5F02F7E5410E}" destId="{C218E944-E64B-0045-B732-E68E121CCB5F}" srcOrd="0" destOrd="1" presId="urn:microsoft.com/office/officeart/2005/8/layout/hProcess9"/>
    <dgm:cxn modelId="{225F6077-7A22-984A-AB60-DA2BEE398C74}" srcId="{B992483A-7DF8-014D-BD92-A089DF9C0AC2}" destId="{101D25CF-88E7-3F4E-A8CF-E66D97B15EEA}" srcOrd="3" destOrd="0" parTransId="{DC9D3A60-FC6E-5A47-8043-51D3BF9FCA5F}" sibTransId="{6D400E1B-BD24-D049-938D-456BEA1576EF}"/>
    <dgm:cxn modelId="{29506D30-21BD-E84C-8A56-DB0798CEC7B9}" srcId="{101D25CF-88E7-3F4E-A8CF-E66D97B15EEA}" destId="{60256E39-DD21-6B4E-9344-BB3BE0E52050}" srcOrd="2" destOrd="0" parTransId="{76622B31-49A9-9E49-A312-75A13C238027}" sibTransId="{90B929AB-BAD6-204D-9AB5-F4B70E673C71}"/>
    <dgm:cxn modelId="{DE2C035F-7E48-4ABF-B9AA-1E40DE2D87EB}" type="presOf" srcId="{1582C47C-7F33-7743-ABC9-2C31B24FC584}" destId="{8B8450DB-A194-1A4F-9FB1-EF3107BA701B}" srcOrd="0" destOrd="1" presId="urn:microsoft.com/office/officeart/2005/8/layout/hProcess9"/>
    <dgm:cxn modelId="{8F0F89EC-F9EC-5345-BB74-3FCE77C1FDC8}" srcId="{101D25CF-88E7-3F4E-A8CF-E66D97B15EEA}" destId="{D4306FB1-B84D-1444-8EF1-A4D932D9D441}" srcOrd="1" destOrd="0" parTransId="{A48C541C-22FB-854F-9A2E-1048B21DC76E}" sibTransId="{30463FE9-46C4-A344-9380-7643282F3379}"/>
    <dgm:cxn modelId="{CEF72580-834E-C042-9F15-353C659F0CF3}" srcId="{7E6C733F-A261-B04E-B06C-AED87F16FD4C}" destId="{F2EC162B-616F-7F42-BA6F-7542A76774C2}" srcOrd="1" destOrd="0" parTransId="{DD2789B1-9C29-FE4E-9C29-0ED726DE70FF}" sibTransId="{31FDE151-C391-FB44-98EB-3BB13D832F4F}"/>
    <dgm:cxn modelId="{4A3AF41C-0DB1-4A81-8975-0D28B992A1CC}" type="presOf" srcId="{1C33B48A-C264-E949-BB7E-C0CDC5EF677B}" destId="{0504136D-5917-2E49-9238-A70CC795B8ED}" srcOrd="0" destOrd="1" presId="urn:microsoft.com/office/officeart/2005/8/layout/hProcess9"/>
    <dgm:cxn modelId="{0631BBB5-D956-4DAA-9767-DFEA4ECF7BEF}" type="presOf" srcId="{60256E39-DD21-6B4E-9344-BB3BE0E52050}" destId="{0504136D-5917-2E49-9238-A70CC795B8ED}" srcOrd="0" destOrd="3" presId="urn:microsoft.com/office/officeart/2005/8/layout/hProcess9"/>
    <dgm:cxn modelId="{A2FA3D40-2207-4F7E-AB45-543D25EA83F1}" type="presParOf" srcId="{EDCEECC0-B0CB-594B-8721-7F97ECF9A9D9}" destId="{E35839CD-89C5-214D-8F4C-721AC5206122}" srcOrd="0" destOrd="0" presId="urn:microsoft.com/office/officeart/2005/8/layout/hProcess9"/>
    <dgm:cxn modelId="{21246FEC-4020-485A-8575-A794ABA5CE06}" type="presParOf" srcId="{EDCEECC0-B0CB-594B-8721-7F97ECF9A9D9}" destId="{1AAE66ED-4019-F94F-8303-3AA37F04543D}" srcOrd="1" destOrd="0" presId="urn:microsoft.com/office/officeart/2005/8/layout/hProcess9"/>
    <dgm:cxn modelId="{8DE87A75-1023-4CC4-AEA3-963189F83EFF}" type="presParOf" srcId="{1AAE66ED-4019-F94F-8303-3AA37F04543D}" destId="{D0DB7861-402F-124B-9F24-AC0D677B038F}" srcOrd="0" destOrd="0" presId="urn:microsoft.com/office/officeart/2005/8/layout/hProcess9"/>
    <dgm:cxn modelId="{F725B4C7-1369-4031-BD1D-74180B735B32}" type="presParOf" srcId="{1AAE66ED-4019-F94F-8303-3AA37F04543D}" destId="{81606D74-726E-944A-BF92-4E5BCA152C69}" srcOrd="1" destOrd="0" presId="urn:microsoft.com/office/officeart/2005/8/layout/hProcess9"/>
    <dgm:cxn modelId="{6B6DDD7F-C60A-4A45-9EEF-8BFF9A7E874F}" type="presParOf" srcId="{1AAE66ED-4019-F94F-8303-3AA37F04543D}" destId="{C218E944-E64B-0045-B732-E68E121CCB5F}" srcOrd="2" destOrd="0" presId="urn:microsoft.com/office/officeart/2005/8/layout/hProcess9"/>
    <dgm:cxn modelId="{52051135-A738-40E9-99C6-C5C5F89145C0}" type="presParOf" srcId="{1AAE66ED-4019-F94F-8303-3AA37F04543D}" destId="{D167C10D-C85A-0A4F-B06A-32FDB67C53C5}" srcOrd="3" destOrd="0" presId="urn:microsoft.com/office/officeart/2005/8/layout/hProcess9"/>
    <dgm:cxn modelId="{AD7FC889-89E0-40E8-AB6F-3CF060D1802F}" type="presParOf" srcId="{1AAE66ED-4019-F94F-8303-3AA37F04543D}" destId="{8B8450DB-A194-1A4F-9FB1-EF3107BA701B}" srcOrd="4" destOrd="0" presId="urn:microsoft.com/office/officeart/2005/8/layout/hProcess9"/>
    <dgm:cxn modelId="{D9C25290-FF0B-48BF-B494-893E941ADF53}" type="presParOf" srcId="{1AAE66ED-4019-F94F-8303-3AA37F04543D}" destId="{D797072A-9250-2B4E-9F41-79C789C12F63}" srcOrd="5" destOrd="0" presId="urn:microsoft.com/office/officeart/2005/8/layout/hProcess9"/>
    <dgm:cxn modelId="{1DEEB28C-027B-4BE5-BEB5-D889291EA5AA}" type="presParOf" srcId="{1AAE66ED-4019-F94F-8303-3AA37F04543D}" destId="{0504136D-5917-2E49-9238-A70CC795B8ED}" srcOrd="6" destOrd="0" presId="urn:microsoft.com/office/officeart/2005/8/layout/hProcess9"/>
    <dgm:cxn modelId="{B23023CA-FA59-4258-A93B-66CA1F6F5523}" type="presParOf" srcId="{1AAE66ED-4019-F94F-8303-3AA37F04543D}" destId="{9F1567DB-8993-0C41-8E79-D61763B17AA4}" srcOrd="7" destOrd="0" presId="urn:microsoft.com/office/officeart/2005/8/layout/hProcess9"/>
    <dgm:cxn modelId="{97CCA85A-E962-4B93-999A-B25A10A6B5E3}" type="presParOf" srcId="{1AAE66ED-4019-F94F-8303-3AA37F04543D}" destId="{A47EDE4E-B4AC-3343-8021-2C7A67A035C8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5839CD-89C5-214D-8F4C-721AC5206122}">
      <dsp:nvSpPr>
        <dsp:cNvPr id="0" name=""/>
        <dsp:cNvSpPr/>
      </dsp:nvSpPr>
      <dsp:spPr>
        <a:xfrm>
          <a:off x="222961" y="0"/>
          <a:ext cx="5919951" cy="2869565"/>
        </a:xfrm>
        <a:prstGeom prst="rightArrow">
          <a:avLst/>
        </a:prstGeom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0" scaled="0"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0DB7861-402F-124B-9F24-AC0D677B038F}">
      <dsp:nvSpPr>
        <dsp:cNvPr id="0" name=""/>
        <dsp:cNvSpPr/>
      </dsp:nvSpPr>
      <dsp:spPr>
        <a:xfrm>
          <a:off x="3419" y="860869"/>
          <a:ext cx="1199818" cy="1147826"/>
        </a:xfrm>
        <a:prstGeom prst="roundRect">
          <a:avLst/>
        </a:prstGeom>
        <a:solidFill>
          <a:schemeClr val="accent6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Цели и планирование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Планирование деятельности органа власти</a:t>
          </a:r>
          <a:endParaRPr lang="en-US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Управление целями</a:t>
          </a:r>
          <a:endParaRPr lang="en-US" sz="700" kern="1200"/>
        </a:p>
      </dsp:txBody>
      <dsp:txXfrm>
        <a:off x="59451" y="916901"/>
        <a:ext cx="1087754" cy="1035762"/>
      </dsp:txXfrm>
    </dsp:sp>
    <dsp:sp modelId="{C218E944-E64B-0045-B732-E68E121CCB5F}">
      <dsp:nvSpPr>
        <dsp:cNvPr id="0" name=""/>
        <dsp:cNvSpPr/>
      </dsp:nvSpPr>
      <dsp:spPr>
        <a:xfrm>
          <a:off x="1263228" y="860869"/>
          <a:ext cx="1199818" cy="1147826"/>
        </a:xfrm>
        <a:prstGeom prst="roundRect">
          <a:avLst/>
        </a:prstGeom>
        <a:solidFill>
          <a:schemeClr val="accent3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3"/>
        </a:fillRef>
        <a:effectRef idx="1">
          <a:schemeClr val="accent3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Данные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Источники и качество данных</a:t>
          </a:r>
          <a:endParaRPr lang="en-US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Обоснование решений</a:t>
          </a:r>
          <a:endParaRPr lang="en-US" sz="700" kern="1200"/>
        </a:p>
      </dsp:txBody>
      <dsp:txXfrm>
        <a:off x="1319260" y="916901"/>
        <a:ext cx="1087754" cy="1035762"/>
      </dsp:txXfrm>
    </dsp:sp>
    <dsp:sp modelId="{8B8450DB-A194-1A4F-9FB1-EF3107BA701B}">
      <dsp:nvSpPr>
        <dsp:cNvPr id="0" name=""/>
        <dsp:cNvSpPr/>
      </dsp:nvSpPr>
      <dsp:spPr>
        <a:xfrm>
          <a:off x="2523037" y="860869"/>
          <a:ext cx="1199818" cy="1147826"/>
        </a:xfrm>
        <a:prstGeom prst="roundRect">
          <a:avLst/>
        </a:prstGeom>
        <a:solidFill>
          <a:schemeClr val="accent4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4"/>
        </a:fillRef>
        <a:effectRef idx="1">
          <a:schemeClr val="accent4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Процесс управления рисками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Идентификация, анализ и ранжирование рисков </a:t>
          </a:r>
          <a:endParaRPr lang="en-US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Реагирование на риски</a:t>
          </a:r>
          <a:endParaRPr lang="en-US" sz="700" kern="1200"/>
        </a:p>
      </dsp:txBody>
      <dsp:txXfrm>
        <a:off x="2579069" y="916901"/>
        <a:ext cx="1087754" cy="1035762"/>
      </dsp:txXfrm>
    </dsp:sp>
    <dsp:sp modelId="{0504136D-5917-2E49-9238-A70CC795B8ED}">
      <dsp:nvSpPr>
        <dsp:cNvPr id="0" name=""/>
        <dsp:cNvSpPr/>
      </dsp:nvSpPr>
      <dsp:spPr>
        <a:xfrm>
          <a:off x="3782846" y="860869"/>
          <a:ext cx="1199818" cy="1147826"/>
        </a:xfrm>
        <a:prstGeom prst="roundRect">
          <a:avLst/>
        </a:prstGeom>
        <a:solidFill>
          <a:schemeClr val="accent5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5"/>
        </a:fillRef>
        <a:effectRef idx="1">
          <a:schemeClr val="accent5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Инфраструктура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Регламентация управления рисками</a:t>
          </a:r>
          <a:endParaRPr lang="en-US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Кадры</a:t>
          </a:r>
          <a:endParaRPr lang="en-US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Экспертно-аналитическое сопровождение</a:t>
          </a:r>
          <a:endParaRPr lang="en-US" sz="700" kern="1200"/>
        </a:p>
      </dsp:txBody>
      <dsp:txXfrm>
        <a:off x="3838878" y="916901"/>
        <a:ext cx="1087754" cy="1035762"/>
      </dsp:txXfrm>
    </dsp:sp>
    <dsp:sp modelId="{A47EDE4E-B4AC-3343-8021-2C7A67A035C8}">
      <dsp:nvSpPr>
        <dsp:cNvPr id="0" name=""/>
        <dsp:cNvSpPr/>
      </dsp:nvSpPr>
      <dsp:spPr>
        <a:xfrm>
          <a:off x="5042655" y="803478"/>
          <a:ext cx="1319800" cy="1262608"/>
        </a:xfrm>
        <a:prstGeom prst="round2DiagRect">
          <a:avLst/>
        </a:prstGeom>
        <a:solidFill>
          <a:schemeClr val="lt1"/>
        </a:solidFill>
        <a:ln w="762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Обеспечение безопасности охраняемых законом ценностей и содействие экономическому развитию</a:t>
          </a:r>
          <a:endParaRPr lang="en-US" sz="900" kern="1200"/>
        </a:p>
      </dsp:txBody>
      <dsp:txXfrm>
        <a:off x="5104290" y="865113"/>
        <a:ext cx="1196530" cy="11393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B84A-A12B-4E06-9B71-E93063FE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24942</Words>
  <Characters>142172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Величинская Юлия Николаевна</dc:creator>
  <dc:description/>
  <cp:lastModifiedBy>Пахомов Алексей Викторович</cp:lastModifiedBy>
  <cp:revision>2</cp:revision>
  <dcterms:created xsi:type="dcterms:W3CDTF">2021-05-24T12:11:00Z</dcterms:created>
  <dcterms:modified xsi:type="dcterms:W3CDTF">2021-05-24T12:11:00Z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